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B1A08">
      <w:pPr>
        <w:pStyle w:val="24"/>
        <w:spacing w:line="360" w:lineRule="auto"/>
        <w:rPr>
          <w:rFonts w:ascii="Times New Roman" w:hAnsi="Times New Roman" w:cs="Times New Roman"/>
          <w:b/>
          <w:bCs/>
          <w:sz w:val="30"/>
          <w:szCs w:val="30"/>
        </w:rPr>
      </w:pPr>
    </w:p>
    <w:p w14:paraId="50A38321">
      <w:pPr>
        <w:pStyle w:val="24"/>
        <w:spacing w:line="360" w:lineRule="auto"/>
        <w:rPr>
          <w:rFonts w:ascii="Times New Roman" w:hAnsi="Times New Roman" w:cs="Times New Roman"/>
          <w:b/>
          <w:bCs/>
          <w:sz w:val="30"/>
          <w:szCs w:val="30"/>
        </w:rPr>
      </w:pPr>
      <w:bookmarkStart w:id="121" w:name="_GoBack"/>
      <w:bookmarkEnd w:id="121"/>
    </w:p>
    <w:p w14:paraId="55C5EC8A">
      <w:pPr>
        <w:pStyle w:val="24"/>
        <w:spacing w:line="360" w:lineRule="auto"/>
        <w:jc w:val="center"/>
        <w:rPr>
          <w:rFonts w:ascii="Times New Roman" w:hAnsi="Times New Roman" w:cs="Times New Roman"/>
          <w:b/>
          <w:color w:val="000000"/>
          <w:sz w:val="44"/>
          <w:szCs w:val="44"/>
          <w:lang w:bidi="ar"/>
        </w:rPr>
      </w:pPr>
      <w:bookmarkStart w:id="0" w:name="bt使用说明"/>
      <w:bookmarkEnd w:id="0"/>
      <w:bookmarkStart w:id="1" w:name="_Toc84303859"/>
      <w:bookmarkStart w:id="2" w:name="_Toc38943413"/>
      <w:bookmarkStart w:id="3" w:name="_Toc47425532"/>
      <w:bookmarkStart w:id="4" w:name="_Toc38943417"/>
      <w:bookmarkStart w:id="5" w:name="_Toc42392972"/>
      <w:bookmarkStart w:id="6" w:name="_Toc42392968"/>
    </w:p>
    <w:p w14:paraId="76FEADA8">
      <w:pPr>
        <w:pStyle w:val="24"/>
        <w:spacing w:line="360" w:lineRule="auto"/>
        <w:jc w:val="center"/>
        <w:rPr>
          <w:rFonts w:ascii="Times New Roman" w:hAnsi="Times New Roman" w:cs="Times New Roman"/>
          <w:b/>
          <w:color w:val="000000"/>
          <w:sz w:val="44"/>
          <w:szCs w:val="44"/>
          <w:lang w:bidi="ar"/>
        </w:rPr>
      </w:pPr>
    </w:p>
    <w:p w14:paraId="59DD9088">
      <w:pPr>
        <w:pStyle w:val="24"/>
        <w:spacing w:line="360" w:lineRule="auto"/>
        <w:jc w:val="center"/>
        <w:rPr>
          <w:rFonts w:hint="eastAsia" w:hAnsi="宋体" w:cs="宋体"/>
          <w:b/>
          <w:bCs/>
          <w:sz w:val="84"/>
          <w:szCs w:val="84"/>
        </w:rPr>
      </w:pPr>
      <w:r>
        <w:rPr>
          <w:rFonts w:hint="eastAsia" w:hAnsi="宋体" w:cs="宋体"/>
          <w:b/>
          <w:bCs/>
          <w:sz w:val="84"/>
          <w:szCs w:val="84"/>
        </w:rPr>
        <w:t>招</w:t>
      </w:r>
    </w:p>
    <w:p w14:paraId="01DA2580">
      <w:pPr>
        <w:pStyle w:val="24"/>
        <w:spacing w:line="360" w:lineRule="auto"/>
        <w:jc w:val="center"/>
        <w:rPr>
          <w:rFonts w:hint="eastAsia" w:hAnsi="宋体" w:cs="宋体"/>
          <w:b/>
          <w:bCs/>
          <w:sz w:val="84"/>
          <w:szCs w:val="84"/>
        </w:rPr>
      </w:pPr>
      <w:r>
        <w:rPr>
          <w:rFonts w:hint="eastAsia" w:hAnsi="宋体" w:cs="宋体"/>
          <w:b/>
          <w:bCs/>
          <w:sz w:val="84"/>
          <w:szCs w:val="84"/>
        </w:rPr>
        <w:t>标</w:t>
      </w:r>
    </w:p>
    <w:p w14:paraId="24164879">
      <w:pPr>
        <w:pStyle w:val="24"/>
        <w:spacing w:line="360" w:lineRule="auto"/>
        <w:jc w:val="center"/>
        <w:rPr>
          <w:rFonts w:hint="eastAsia" w:hAnsi="宋体" w:cs="宋体"/>
          <w:b/>
          <w:bCs/>
          <w:sz w:val="84"/>
          <w:szCs w:val="84"/>
        </w:rPr>
      </w:pPr>
      <w:r>
        <w:rPr>
          <w:rFonts w:hint="eastAsia" w:hAnsi="宋体" w:cs="宋体"/>
          <w:b/>
          <w:bCs/>
          <w:sz w:val="84"/>
          <w:szCs w:val="84"/>
        </w:rPr>
        <w:t>文</w:t>
      </w:r>
    </w:p>
    <w:p w14:paraId="5BCEC8CF">
      <w:pPr>
        <w:pStyle w:val="24"/>
        <w:spacing w:line="360" w:lineRule="auto"/>
        <w:jc w:val="center"/>
        <w:rPr>
          <w:rFonts w:hint="eastAsia" w:hAnsi="宋体" w:cs="宋体"/>
          <w:b/>
          <w:bCs/>
          <w:sz w:val="52"/>
          <w:szCs w:val="52"/>
        </w:rPr>
      </w:pPr>
      <w:r>
        <w:rPr>
          <w:rFonts w:hint="eastAsia" w:hAnsi="宋体" w:cs="宋体"/>
          <w:b/>
          <w:bCs/>
          <w:sz w:val="84"/>
          <w:szCs w:val="84"/>
        </w:rPr>
        <w:t>件</w:t>
      </w:r>
    </w:p>
    <w:p w14:paraId="79111E7A">
      <w:pPr>
        <w:pStyle w:val="24"/>
        <w:spacing w:line="360" w:lineRule="auto"/>
        <w:ind w:left="2415" w:leftChars="414" w:hanging="1421"/>
        <w:jc w:val="center"/>
        <w:rPr>
          <w:rFonts w:hint="eastAsia" w:hAnsi="宋体" w:cs="宋体"/>
          <w:b/>
          <w:bCs/>
          <w:sz w:val="52"/>
          <w:szCs w:val="52"/>
        </w:rPr>
      </w:pPr>
    </w:p>
    <w:p w14:paraId="15DD47E1">
      <w:pPr>
        <w:pStyle w:val="24"/>
        <w:spacing w:line="360" w:lineRule="auto"/>
        <w:rPr>
          <w:rFonts w:hint="eastAsia" w:hAnsi="宋体" w:cs="宋体"/>
          <w:sz w:val="52"/>
          <w:szCs w:val="52"/>
          <w:u w:val="single"/>
        </w:rPr>
      </w:pPr>
      <w:r>
        <w:rPr>
          <w:rFonts w:hint="eastAsia" w:hAnsi="宋体" w:cs="宋体"/>
          <w:b/>
          <w:bCs/>
          <w:sz w:val="52"/>
          <w:szCs w:val="52"/>
        </w:rPr>
        <w:t>项目名称：20</w:t>
      </w:r>
      <w:r>
        <w:rPr>
          <w:rFonts w:hint="eastAsia" w:hAnsi="宋体" w:cs="宋体"/>
          <w:b/>
          <w:bCs/>
          <w:sz w:val="52"/>
          <w:szCs w:val="52"/>
          <w:lang w:val="en-US" w:eastAsia="zh-CN"/>
        </w:rPr>
        <w:t>2</w:t>
      </w:r>
      <w:r>
        <w:rPr>
          <w:rFonts w:hint="eastAsia" w:hAnsi="宋体" w:cs="宋体"/>
          <w:b/>
          <w:bCs/>
          <w:sz w:val="52"/>
          <w:szCs w:val="52"/>
          <w:lang w:val="en-US" w:eastAsia="zh-CN"/>
        </w:rPr>
        <w:t>6</w:t>
      </w:r>
      <w:r>
        <w:rPr>
          <w:rFonts w:hint="eastAsia" w:hAnsi="宋体" w:cs="宋体"/>
          <w:b/>
          <w:bCs/>
          <w:sz w:val="52"/>
          <w:szCs w:val="52"/>
        </w:rPr>
        <w:t>年度购电业务</w:t>
      </w:r>
    </w:p>
    <w:p w14:paraId="404891A1">
      <w:pPr>
        <w:pStyle w:val="24"/>
        <w:spacing w:line="360" w:lineRule="auto"/>
        <w:ind w:firstLine="2088" w:firstLineChars="400"/>
        <w:rPr>
          <w:rFonts w:hint="eastAsia" w:hAnsi="宋体" w:cs="宋体"/>
          <w:sz w:val="52"/>
          <w:szCs w:val="52"/>
          <w:u w:val="single"/>
        </w:rPr>
      </w:pPr>
      <w:r>
        <w:rPr>
          <w:rFonts w:hint="eastAsia" w:hAnsi="宋体" w:cs="宋体"/>
          <w:b/>
          <w:bCs/>
          <w:sz w:val="52"/>
          <w:szCs w:val="52"/>
        </w:rPr>
        <w:t>地点：广东省</w:t>
      </w:r>
    </w:p>
    <w:p w14:paraId="6AB9E9CF">
      <w:pPr>
        <w:pStyle w:val="24"/>
        <w:spacing w:line="360" w:lineRule="auto"/>
        <w:ind w:left="2" w:hanging="2"/>
        <w:jc w:val="left"/>
        <w:rPr>
          <w:rFonts w:hint="eastAsia" w:hAnsi="宋体" w:cs="宋体"/>
          <w:b/>
          <w:bCs/>
          <w:sz w:val="52"/>
          <w:szCs w:val="52"/>
        </w:rPr>
      </w:pPr>
    </w:p>
    <w:p w14:paraId="01AE16E2">
      <w:pPr>
        <w:pStyle w:val="24"/>
        <w:spacing w:line="360" w:lineRule="auto"/>
        <w:jc w:val="center"/>
        <w:rPr>
          <w:rFonts w:hint="eastAsia" w:hAnsi="宋体" w:cs="宋体"/>
          <w:b/>
          <w:bCs/>
          <w:sz w:val="52"/>
          <w:szCs w:val="52"/>
        </w:rPr>
        <w:sectPr>
          <w:headerReference r:id="rId5" w:type="first"/>
          <w:footerReference r:id="rId8" w:type="first"/>
          <w:headerReference r:id="rId3" w:type="default"/>
          <w:footerReference r:id="rId6" w:type="default"/>
          <w:headerReference r:id="rId4" w:type="even"/>
          <w:footerReference r:id="rId7" w:type="even"/>
          <w:pgSz w:w="11907" w:h="16840"/>
          <w:pgMar w:top="1418" w:right="1701" w:bottom="1418" w:left="1701" w:header="851" w:footer="851" w:gutter="0"/>
          <w:cols w:space="720" w:num="1"/>
          <w:titlePg/>
          <w:docGrid w:linePitch="326" w:charSpace="130"/>
        </w:sectPr>
      </w:pPr>
      <w:r>
        <w:rPr>
          <w:rFonts w:hint="eastAsia" w:hAnsi="宋体" w:cs="宋体"/>
          <w:b/>
          <w:bCs/>
          <w:sz w:val="52"/>
          <w:szCs w:val="52"/>
        </w:rPr>
        <w:t>20</w:t>
      </w:r>
      <w:r>
        <w:rPr>
          <w:rFonts w:hint="eastAsia" w:hAnsi="宋体" w:cs="宋体"/>
          <w:b/>
          <w:bCs/>
          <w:sz w:val="52"/>
          <w:szCs w:val="52"/>
          <w:lang w:val="en-US" w:eastAsia="zh-CN"/>
        </w:rPr>
        <w:t>2</w:t>
      </w:r>
      <w:r>
        <w:rPr>
          <w:rFonts w:hint="eastAsia" w:hAnsi="宋体" w:cs="宋体"/>
          <w:b/>
          <w:bCs/>
          <w:sz w:val="52"/>
          <w:szCs w:val="52"/>
          <w:lang w:val="en-US" w:eastAsia="zh-CN"/>
        </w:rPr>
        <w:t>5</w:t>
      </w:r>
      <w:r>
        <w:rPr>
          <w:rFonts w:hint="eastAsia" w:hAnsi="宋体" w:cs="宋体"/>
          <w:b/>
          <w:bCs/>
          <w:sz w:val="52"/>
          <w:szCs w:val="52"/>
        </w:rPr>
        <w:t>年</w:t>
      </w:r>
      <w:r>
        <w:rPr>
          <w:rFonts w:hint="eastAsia" w:hAnsi="宋体" w:cs="宋体"/>
          <w:b/>
          <w:bCs/>
          <w:sz w:val="52"/>
          <w:szCs w:val="52"/>
          <w:lang w:val="en-US" w:eastAsia="zh-CN"/>
        </w:rPr>
        <w:t>1</w:t>
      </w:r>
      <w:r>
        <w:rPr>
          <w:rFonts w:hint="eastAsia" w:hAnsi="宋体" w:cs="宋体"/>
          <w:b/>
          <w:bCs/>
          <w:sz w:val="52"/>
          <w:szCs w:val="52"/>
          <w:lang w:val="en-US" w:eastAsia="zh-CN"/>
        </w:rPr>
        <w:t>1</w:t>
      </w:r>
      <w:r>
        <w:rPr>
          <w:rFonts w:hint="eastAsia" w:hAnsi="宋体" w:cs="宋体"/>
          <w:b/>
          <w:bCs/>
          <w:sz w:val="52"/>
          <w:szCs w:val="52"/>
        </w:rPr>
        <w:t>月</w:t>
      </w:r>
      <w:r>
        <w:rPr>
          <w:rFonts w:hint="eastAsia" w:hAnsi="宋体" w:cs="宋体"/>
          <w:b/>
          <w:bCs/>
          <w:sz w:val="52"/>
          <w:szCs w:val="52"/>
          <w:lang w:val="en-US" w:eastAsia="zh-CN"/>
        </w:rPr>
        <w:t>4</w:t>
      </w:r>
      <w:r>
        <w:rPr>
          <w:rFonts w:hint="eastAsia" w:hAnsi="宋体" w:cs="宋体"/>
          <w:b/>
          <w:bCs/>
          <w:sz w:val="52"/>
          <w:szCs w:val="52"/>
        </w:rPr>
        <w:t>日</w:t>
      </w:r>
      <w:bookmarkStart w:id="7" w:name="_Toc42392967"/>
      <w:bookmarkStart w:id="8" w:name="_Toc47425531"/>
      <w:bookmarkStart w:id="9" w:name="_Toc38943412"/>
      <w:bookmarkStart w:id="10" w:name="_Toc84303858"/>
    </w:p>
    <w:p w14:paraId="534F31BC">
      <w:pPr>
        <w:pStyle w:val="47"/>
        <w:spacing w:line="360" w:lineRule="auto"/>
        <w:rPr>
          <w:rFonts w:hint="eastAsia" w:ascii="宋体" w:hAnsi="宋体" w:cs="宋体"/>
          <w:sz w:val="28"/>
          <w:szCs w:val="28"/>
        </w:rPr>
      </w:pPr>
      <w:bookmarkStart w:id="11" w:name="_Toc32250"/>
      <w:bookmarkStart w:id="12" w:name="_Toc13033"/>
      <w:bookmarkStart w:id="13" w:name="_Toc95925478"/>
      <w:bookmarkStart w:id="14" w:name="_Toc95925309"/>
      <w:bookmarkStart w:id="15" w:name="_Toc19741"/>
      <w:bookmarkStart w:id="16" w:name="_Toc20507"/>
      <w:bookmarkStart w:id="17" w:name="_Toc2524"/>
      <w:r>
        <w:rPr>
          <w:rFonts w:hint="eastAsia" w:ascii="宋体" w:hAnsi="宋体" w:cs="宋体"/>
          <w:sz w:val="28"/>
          <w:szCs w:val="28"/>
        </w:rPr>
        <w:t>第一章  致投标人</w:t>
      </w:r>
      <w:bookmarkEnd w:id="7"/>
      <w:bookmarkEnd w:id="8"/>
      <w:bookmarkEnd w:id="9"/>
      <w:bookmarkEnd w:id="10"/>
      <w:bookmarkEnd w:id="11"/>
      <w:bookmarkEnd w:id="12"/>
      <w:bookmarkEnd w:id="13"/>
      <w:bookmarkEnd w:id="14"/>
      <w:bookmarkEnd w:id="15"/>
      <w:bookmarkEnd w:id="16"/>
      <w:bookmarkEnd w:id="17"/>
    </w:p>
    <w:p w14:paraId="60103A4F">
      <w:pPr>
        <w:pStyle w:val="24"/>
        <w:spacing w:line="360" w:lineRule="auto"/>
        <w:ind w:firstLine="560" w:firstLineChars="200"/>
        <w:rPr>
          <w:rFonts w:hint="eastAsia" w:hAnsi="宋体" w:cs="宋体"/>
          <w:sz w:val="28"/>
          <w:szCs w:val="28"/>
        </w:rPr>
      </w:pPr>
    </w:p>
    <w:p w14:paraId="594E28A0">
      <w:pPr>
        <w:pStyle w:val="24"/>
        <w:spacing w:line="360" w:lineRule="auto"/>
        <w:ind w:firstLine="495" w:firstLineChars="177"/>
        <w:rPr>
          <w:rFonts w:hint="eastAsia" w:hAnsi="宋体" w:cs="宋体"/>
          <w:sz w:val="28"/>
          <w:szCs w:val="28"/>
        </w:rPr>
      </w:pPr>
      <w:r>
        <w:rPr>
          <w:rFonts w:hint="eastAsia" w:hAnsi="宋体" w:cs="宋体"/>
          <w:sz w:val="28"/>
          <w:szCs w:val="28"/>
        </w:rPr>
        <w:t>特别提示：</w:t>
      </w:r>
    </w:p>
    <w:p w14:paraId="2B7D0507">
      <w:pPr>
        <w:pStyle w:val="24"/>
        <w:spacing w:line="360" w:lineRule="auto"/>
        <w:ind w:firstLine="560" w:firstLineChars="200"/>
        <w:rPr>
          <w:rFonts w:hint="eastAsia" w:hAnsi="宋体" w:cs="宋体"/>
          <w:sz w:val="28"/>
          <w:szCs w:val="28"/>
        </w:rPr>
      </w:pPr>
      <w:r>
        <w:rPr>
          <w:rFonts w:hint="eastAsia" w:hAnsi="宋体" w:cs="宋体"/>
          <w:sz w:val="28"/>
          <w:szCs w:val="28"/>
        </w:rPr>
        <w:t>一、本招标文件是依据有关招标投标的法律法规、规章和规范性文件的规定，根据本招标工程的特点和需要编制的。招标文件的编制遵循公开、公平、公正和诚实信用的原则，招标文件的内容已清楚地反映了购电的规模、性质以及商务和技术要求等。</w:t>
      </w:r>
    </w:p>
    <w:p w14:paraId="7048FED6">
      <w:pPr>
        <w:pStyle w:val="24"/>
        <w:spacing w:line="360" w:lineRule="auto"/>
        <w:ind w:firstLine="560" w:firstLineChars="200"/>
        <w:rPr>
          <w:rFonts w:hint="eastAsia" w:hAnsi="宋体" w:cs="宋体"/>
          <w:sz w:val="28"/>
          <w:szCs w:val="28"/>
        </w:rPr>
      </w:pPr>
      <w:r>
        <w:rPr>
          <w:rFonts w:hint="eastAsia" w:hAnsi="宋体" w:cs="宋体"/>
          <w:sz w:val="28"/>
          <w:szCs w:val="28"/>
        </w:rPr>
        <w:t>二、投标人获取招标文件后，应仔细阅读招标文件及附件的全部内容，招标文件与附件具有同等效力。</w:t>
      </w:r>
    </w:p>
    <w:p w14:paraId="6EB9BADA">
      <w:pPr>
        <w:pStyle w:val="24"/>
        <w:spacing w:line="360" w:lineRule="auto"/>
        <w:ind w:firstLine="560" w:firstLineChars="200"/>
        <w:rPr>
          <w:rFonts w:hint="eastAsia" w:hAnsi="宋体" w:cs="宋体"/>
          <w:sz w:val="28"/>
          <w:szCs w:val="28"/>
        </w:rPr>
      </w:pPr>
      <w:r>
        <w:rPr>
          <w:rFonts w:hint="eastAsia" w:hAnsi="宋体" w:cs="宋体"/>
          <w:sz w:val="28"/>
          <w:szCs w:val="28"/>
        </w:rPr>
        <w:t>三、投标人在投标截止时间前，招标文件、答疑、补遗内容不一致时，以最后发出的为准。</w:t>
      </w:r>
    </w:p>
    <w:p w14:paraId="75EFC918">
      <w:pPr>
        <w:pStyle w:val="24"/>
        <w:spacing w:line="360" w:lineRule="auto"/>
        <w:ind w:firstLine="560" w:firstLineChars="200"/>
        <w:rPr>
          <w:rFonts w:hint="eastAsia" w:hAnsi="宋体" w:cs="宋体"/>
          <w:sz w:val="28"/>
          <w:szCs w:val="28"/>
        </w:rPr>
      </w:pPr>
      <w:r>
        <w:rPr>
          <w:rFonts w:hint="eastAsia" w:hAnsi="宋体" w:cs="宋体"/>
          <w:sz w:val="28"/>
          <w:szCs w:val="28"/>
        </w:rPr>
        <w:t>四、投标人应在遵循招标文件的各项规定和要求的前提下，编制投标文件。编制投标文件时，应注意：投标人对招标文件有不同意见或不明之处，应向招标人质疑，求得彻底澄清。若招标人不接受投标人提出的意见，投标人必须按招标文件办理，而不应在投标文件中加进额外的条件。</w:t>
      </w:r>
    </w:p>
    <w:p w14:paraId="37CCF61A">
      <w:pPr>
        <w:pStyle w:val="24"/>
        <w:spacing w:line="360" w:lineRule="auto"/>
        <w:ind w:firstLine="560" w:firstLineChars="200"/>
        <w:rPr>
          <w:rFonts w:hint="eastAsia" w:hAnsi="宋体" w:cs="宋体"/>
          <w:sz w:val="28"/>
          <w:szCs w:val="28"/>
        </w:rPr>
      </w:pPr>
      <w:r>
        <w:rPr>
          <w:rFonts w:hint="eastAsia" w:hAnsi="宋体" w:cs="宋体"/>
          <w:sz w:val="28"/>
          <w:szCs w:val="28"/>
        </w:rPr>
        <w:t>五、投标人在提交投标文件时，应注意：</w:t>
      </w:r>
    </w:p>
    <w:p w14:paraId="3D292B1E">
      <w:pPr>
        <w:pStyle w:val="24"/>
        <w:spacing w:line="360" w:lineRule="auto"/>
        <w:ind w:firstLine="560" w:firstLineChars="200"/>
        <w:rPr>
          <w:rFonts w:hint="eastAsia" w:hAnsi="宋体" w:cs="宋体"/>
          <w:sz w:val="28"/>
          <w:szCs w:val="28"/>
        </w:rPr>
      </w:pPr>
      <w:r>
        <w:rPr>
          <w:rFonts w:hint="eastAsia" w:hAnsi="宋体" w:cs="宋体"/>
          <w:sz w:val="28"/>
          <w:szCs w:val="28"/>
        </w:rPr>
        <w:t>1．投标人应严格按照招标文件的要求进行投标文件的密封、装订和标记。</w:t>
      </w:r>
    </w:p>
    <w:p w14:paraId="370E844F">
      <w:pPr>
        <w:pStyle w:val="24"/>
        <w:spacing w:line="360" w:lineRule="auto"/>
        <w:ind w:firstLine="560" w:firstLineChars="200"/>
        <w:rPr>
          <w:rFonts w:hint="eastAsia" w:hAnsi="宋体" w:cs="宋体"/>
          <w:sz w:val="28"/>
          <w:szCs w:val="28"/>
        </w:rPr>
      </w:pPr>
      <w:r>
        <w:rPr>
          <w:rFonts w:hint="eastAsia" w:hAnsi="宋体" w:cs="宋体"/>
          <w:sz w:val="28"/>
          <w:szCs w:val="28"/>
        </w:rPr>
        <w:t>2．投标人应当在招标文件要求提交投标文件的截止时间前，将投标文件送达指定地点。</w:t>
      </w:r>
    </w:p>
    <w:p w14:paraId="3FA9AE99">
      <w:pPr>
        <w:spacing w:line="360" w:lineRule="auto"/>
        <w:rPr>
          <w:rFonts w:hint="eastAsia" w:ascii="宋体" w:hAnsi="宋体" w:cs="宋体"/>
          <w:sz w:val="28"/>
          <w:szCs w:val="28"/>
        </w:rPr>
      </w:pPr>
    </w:p>
    <w:p w14:paraId="3D4397A0">
      <w:pPr>
        <w:pStyle w:val="24"/>
        <w:tabs>
          <w:tab w:val="left" w:pos="6960"/>
        </w:tabs>
        <w:spacing w:line="360" w:lineRule="auto"/>
        <w:ind w:right="241" w:firstLine="2811" w:firstLineChars="1000"/>
        <w:rPr>
          <w:rFonts w:hint="eastAsia" w:hAnsi="宋体" w:cs="宋体"/>
          <w:b/>
          <w:bCs/>
          <w:sz w:val="28"/>
          <w:szCs w:val="28"/>
        </w:rPr>
      </w:pPr>
      <w:r>
        <w:rPr>
          <w:rFonts w:hint="eastAsia" w:hAnsi="宋体" w:cs="宋体"/>
          <w:b/>
          <w:bCs/>
          <w:sz w:val="28"/>
          <w:szCs w:val="28"/>
        </w:rPr>
        <w:t>招标人：景田(深圳)食品饮料集团有限公司</w:t>
      </w:r>
    </w:p>
    <w:p w14:paraId="47920017">
      <w:pPr>
        <w:pStyle w:val="24"/>
        <w:tabs>
          <w:tab w:val="left" w:pos="6960"/>
        </w:tabs>
        <w:spacing w:line="360" w:lineRule="auto"/>
        <w:ind w:left="3840" w:leftChars="1600" w:right="241"/>
        <w:rPr>
          <w:rFonts w:hint="eastAsia" w:hAnsi="宋体" w:cs="宋体"/>
          <w:bCs/>
          <w:sz w:val="28"/>
          <w:szCs w:val="28"/>
        </w:rPr>
      </w:pPr>
      <w:r>
        <w:rPr>
          <w:rFonts w:hint="eastAsia" w:hAnsi="宋体" w:cs="宋体"/>
          <w:b/>
          <w:bCs/>
          <w:sz w:val="28"/>
          <w:szCs w:val="28"/>
        </w:rPr>
        <w:t>日期：</w:t>
      </w:r>
      <w:r>
        <w:rPr>
          <w:rFonts w:hint="eastAsia" w:hAnsi="宋体" w:cs="宋体"/>
          <w:bCs/>
          <w:sz w:val="28"/>
          <w:szCs w:val="28"/>
        </w:rPr>
        <w:t>20</w:t>
      </w:r>
      <w:r>
        <w:rPr>
          <w:rFonts w:hint="eastAsia" w:hAnsi="宋体" w:cs="宋体"/>
          <w:bCs/>
          <w:sz w:val="28"/>
          <w:szCs w:val="28"/>
          <w:lang w:val="en-US" w:eastAsia="zh-CN"/>
        </w:rPr>
        <w:t>2</w:t>
      </w:r>
      <w:r>
        <w:rPr>
          <w:rFonts w:hint="eastAsia" w:hAnsi="宋体" w:cs="宋体"/>
          <w:bCs/>
          <w:sz w:val="28"/>
          <w:szCs w:val="28"/>
          <w:lang w:val="en-US" w:eastAsia="zh-CN"/>
        </w:rPr>
        <w:t>5</w:t>
      </w:r>
      <w:r>
        <w:rPr>
          <w:rFonts w:hint="eastAsia" w:hAnsi="宋体" w:cs="宋体"/>
          <w:bCs/>
          <w:sz w:val="28"/>
          <w:szCs w:val="28"/>
        </w:rPr>
        <w:t>年</w:t>
      </w:r>
      <w:r>
        <w:rPr>
          <w:rFonts w:hint="eastAsia" w:hAnsi="宋体" w:cs="宋体"/>
          <w:bCs/>
          <w:sz w:val="28"/>
          <w:szCs w:val="28"/>
          <w:lang w:val="en-US" w:eastAsia="zh-CN"/>
        </w:rPr>
        <w:t>1</w:t>
      </w:r>
      <w:r>
        <w:rPr>
          <w:rFonts w:hint="eastAsia" w:hAnsi="宋体" w:cs="宋体"/>
          <w:bCs/>
          <w:sz w:val="28"/>
          <w:szCs w:val="28"/>
          <w:lang w:val="en-US" w:eastAsia="zh-CN"/>
        </w:rPr>
        <w:t>1</w:t>
      </w:r>
      <w:r>
        <w:rPr>
          <w:rFonts w:hint="eastAsia" w:hAnsi="宋体" w:cs="宋体"/>
          <w:bCs/>
          <w:sz w:val="28"/>
          <w:szCs w:val="28"/>
        </w:rPr>
        <w:t>月</w:t>
      </w:r>
      <w:r>
        <w:rPr>
          <w:rFonts w:hint="eastAsia" w:hAnsi="宋体" w:cs="宋体"/>
          <w:bCs/>
          <w:sz w:val="28"/>
          <w:szCs w:val="28"/>
          <w:lang w:val="en-US" w:eastAsia="zh-CN"/>
        </w:rPr>
        <w:t>4</w:t>
      </w:r>
      <w:r>
        <w:rPr>
          <w:rFonts w:hint="eastAsia" w:hAnsi="宋体" w:cs="宋体"/>
          <w:bCs/>
          <w:sz w:val="28"/>
          <w:szCs w:val="28"/>
        </w:rPr>
        <w:t>日</w:t>
      </w:r>
    </w:p>
    <w:p w14:paraId="5881EF23">
      <w:pPr>
        <w:tabs>
          <w:tab w:val="left" w:pos="6300"/>
        </w:tabs>
        <w:spacing w:line="360" w:lineRule="auto"/>
        <w:sectPr>
          <w:footerReference r:id="rId10" w:type="first"/>
          <w:footerReference r:id="rId9" w:type="default"/>
          <w:pgSz w:w="11907" w:h="16840"/>
          <w:pgMar w:top="1418" w:right="1701" w:bottom="1418" w:left="1701" w:header="851" w:footer="851" w:gutter="0"/>
          <w:cols w:space="720" w:num="1"/>
          <w:titlePg/>
          <w:docGrid w:linePitch="326" w:charSpace="130"/>
        </w:sectPr>
      </w:pPr>
      <w:r>
        <w:tab/>
      </w:r>
    </w:p>
    <w:bookmarkEnd w:id="1"/>
    <w:bookmarkEnd w:id="2"/>
    <w:bookmarkEnd w:id="3"/>
    <w:bookmarkEnd w:id="4"/>
    <w:bookmarkEnd w:id="5"/>
    <w:bookmarkEnd w:id="6"/>
    <w:p w14:paraId="45D45464">
      <w:pPr>
        <w:pStyle w:val="47"/>
        <w:spacing w:line="360" w:lineRule="auto"/>
        <w:rPr>
          <w:rFonts w:hint="eastAsia" w:ascii="宋体" w:hAnsi="宋体" w:cs="宋体"/>
          <w:sz w:val="28"/>
          <w:szCs w:val="28"/>
        </w:rPr>
      </w:pPr>
      <w:bookmarkStart w:id="18" w:name="_Toc22688"/>
      <w:bookmarkStart w:id="19" w:name="_Toc25849"/>
      <w:bookmarkStart w:id="20" w:name="_Toc95925479"/>
      <w:bookmarkStart w:id="21" w:name="_Toc20511"/>
      <w:bookmarkStart w:id="22" w:name="_Toc15604"/>
      <w:bookmarkStart w:id="23" w:name="_Toc95925310"/>
      <w:bookmarkStart w:id="24" w:name="_Toc326"/>
      <w:r>
        <w:rPr>
          <w:rFonts w:hint="eastAsia" w:ascii="宋体" w:hAnsi="宋体" w:cs="宋体"/>
          <w:sz w:val="28"/>
          <w:szCs w:val="28"/>
        </w:rPr>
        <w:t>第二章  投标邀请函</w:t>
      </w:r>
      <w:bookmarkEnd w:id="18"/>
      <w:bookmarkEnd w:id="19"/>
      <w:bookmarkEnd w:id="20"/>
      <w:bookmarkEnd w:id="21"/>
      <w:bookmarkEnd w:id="22"/>
      <w:bookmarkEnd w:id="23"/>
      <w:bookmarkEnd w:id="24"/>
    </w:p>
    <w:p w14:paraId="503640EE">
      <w:pPr>
        <w:spacing w:before="100" w:beforeAutospacing="1" w:after="100" w:afterAutospacing="1" w:line="360" w:lineRule="auto"/>
        <w:rPr>
          <w:rFonts w:hint="eastAsia" w:ascii="宋体" w:hAnsi="宋体" w:cs="宋体"/>
          <w:b/>
          <w:bCs/>
          <w:sz w:val="28"/>
          <w:szCs w:val="28"/>
          <w:u w:val="single"/>
        </w:rPr>
      </w:pPr>
      <w:r>
        <w:rPr>
          <w:rFonts w:hint="eastAsia" w:ascii="宋体" w:hAnsi="宋体" w:cs="宋体"/>
          <w:b/>
          <w:bCs/>
          <w:sz w:val="28"/>
          <w:szCs w:val="28"/>
          <w:u w:val="single"/>
        </w:rPr>
        <w:t>致投标单位：</w:t>
      </w:r>
    </w:p>
    <w:p w14:paraId="291383D8">
      <w:pPr>
        <w:spacing w:line="360" w:lineRule="auto"/>
        <w:ind w:firstLine="560" w:firstLineChars="200"/>
        <w:rPr>
          <w:rFonts w:hint="eastAsia" w:ascii="宋体" w:hAnsi="宋体" w:cs="宋体"/>
          <w:sz w:val="28"/>
          <w:szCs w:val="28"/>
        </w:rPr>
      </w:pPr>
      <w:r>
        <w:rPr>
          <w:rFonts w:hint="eastAsia" w:ascii="宋体" w:hAnsi="宋体" w:cs="宋体"/>
          <w:sz w:val="28"/>
          <w:szCs w:val="28"/>
        </w:rPr>
        <w:t>1.现就广东省内预购电邀请贵司参与投标。</w:t>
      </w:r>
    </w:p>
    <w:p w14:paraId="3F22A91F">
      <w:pPr>
        <w:spacing w:line="360" w:lineRule="auto"/>
        <w:ind w:firstLine="560" w:firstLineChars="200"/>
        <w:rPr>
          <w:rFonts w:hint="eastAsia" w:ascii="宋体" w:hAnsi="宋体" w:cs="宋体"/>
          <w:sz w:val="28"/>
          <w:szCs w:val="28"/>
        </w:rPr>
      </w:pPr>
      <w:r>
        <w:rPr>
          <w:rFonts w:hint="eastAsia" w:ascii="宋体" w:hAnsi="宋体" w:cs="宋体"/>
          <w:sz w:val="28"/>
          <w:szCs w:val="28"/>
        </w:rPr>
        <w:t>2.答疑截止时间：投标人按附件格式要求进行提疑于</w:t>
      </w:r>
      <w:r>
        <w:rPr>
          <w:rFonts w:hint="eastAsia" w:ascii="宋体" w:hAnsi="宋体" w:cs="宋体"/>
          <w:sz w:val="28"/>
          <w:szCs w:val="28"/>
          <w:u w:val="single"/>
          <w:lang w:val="en-US" w:eastAsia="zh-CN"/>
        </w:rPr>
        <w:t>2025</w:t>
      </w:r>
      <w:r>
        <w:rPr>
          <w:rFonts w:hint="eastAsia" w:ascii="宋体" w:hAnsi="宋体" w:cs="宋体"/>
          <w:sz w:val="28"/>
          <w:szCs w:val="28"/>
          <w:u w:val="single"/>
        </w:rPr>
        <w:t>年</w:t>
      </w:r>
      <w:r>
        <w:rPr>
          <w:rFonts w:hint="eastAsia" w:ascii="宋体" w:hAnsi="宋体" w:cs="宋体"/>
          <w:sz w:val="28"/>
          <w:szCs w:val="28"/>
          <w:u w:val="single"/>
          <w:lang w:val="en-US" w:eastAsia="zh-CN"/>
        </w:rPr>
        <w:t>11</w:t>
      </w:r>
      <w:r>
        <w:rPr>
          <w:rFonts w:hint="eastAsia" w:ascii="宋体" w:hAnsi="宋体" w:cs="宋体"/>
          <w:sz w:val="28"/>
          <w:szCs w:val="28"/>
          <w:u w:val="single"/>
        </w:rPr>
        <w:t>月</w:t>
      </w:r>
      <w:r>
        <w:rPr>
          <w:rFonts w:hint="eastAsia" w:ascii="宋体" w:hAnsi="宋体" w:cs="宋体"/>
          <w:sz w:val="28"/>
          <w:szCs w:val="28"/>
          <w:u w:val="single"/>
          <w:lang w:val="en-US" w:eastAsia="zh-CN"/>
        </w:rPr>
        <w:t>10</w:t>
      </w:r>
      <w:r>
        <w:rPr>
          <w:rFonts w:hint="eastAsia" w:ascii="宋体" w:hAnsi="宋体" w:cs="宋体"/>
          <w:sz w:val="28"/>
          <w:szCs w:val="28"/>
          <w:u w:val="single"/>
        </w:rPr>
        <w:t>日14点前</w:t>
      </w:r>
      <w:r>
        <w:rPr>
          <w:rFonts w:hint="eastAsia" w:ascii="宋体" w:hAnsi="宋体" w:cs="宋体"/>
          <w:sz w:val="28"/>
          <w:szCs w:val="28"/>
        </w:rPr>
        <w:t>发送至招标人邮箱（maoming@ganten.com.cn），招标人将于</w:t>
      </w:r>
      <w:r>
        <w:rPr>
          <w:rFonts w:hint="eastAsia" w:ascii="宋体" w:hAnsi="宋体" w:cs="宋体"/>
          <w:sz w:val="28"/>
          <w:szCs w:val="28"/>
          <w:u w:val="single"/>
          <w:lang w:val="en-US" w:eastAsia="zh-CN"/>
        </w:rPr>
        <w:t>2025</w:t>
      </w:r>
      <w:r>
        <w:rPr>
          <w:rFonts w:hint="eastAsia" w:ascii="宋体" w:hAnsi="宋体" w:cs="宋体"/>
          <w:sz w:val="28"/>
          <w:szCs w:val="28"/>
          <w:u w:val="single"/>
        </w:rPr>
        <w:t>年</w:t>
      </w:r>
      <w:r>
        <w:rPr>
          <w:rFonts w:hint="eastAsia" w:ascii="宋体" w:hAnsi="宋体" w:cs="宋体"/>
          <w:sz w:val="28"/>
          <w:szCs w:val="28"/>
          <w:u w:val="single"/>
          <w:lang w:val="en-US" w:eastAsia="zh-CN"/>
        </w:rPr>
        <w:t>11</w:t>
      </w:r>
      <w:r>
        <w:rPr>
          <w:rFonts w:hint="eastAsia" w:ascii="宋体" w:hAnsi="宋体" w:cs="宋体"/>
          <w:sz w:val="28"/>
          <w:szCs w:val="28"/>
          <w:u w:val="single"/>
        </w:rPr>
        <w:t>月</w:t>
      </w:r>
      <w:r>
        <w:rPr>
          <w:rFonts w:hint="eastAsia" w:ascii="宋体" w:hAnsi="宋体" w:cs="宋体"/>
          <w:sz w:val="28"/>
          <w:szCs w:val="28"/>
          <w:u w:val="single"/>
          <w:lang w:val="en-US" w:eastAsia="zh-CN"/>
        </w:rPr>
        <w:t>10</w:t>
      </w:r>
      <w:r>
        <w:rPr>
          <w:rFonts w:hint="eastAsia" w:ascii="宋体" w:hAnsi="宋体" w:cs="宋体"/>
          <w:sz w:val="28"/>
          <w:szCs w:val="28"/>
          <w:u w:val="single"/>
        </w:rPr>
        <w:t>日15时前</w:t>
      </w:r>
      <w:r>
        <w:rPr>
          <w:rFonts w:hint="eastAsia" w:ascii="宋体" w:hAnsi="宋体" w:cs="宋体"/>
          <w:sz w:val="28"/>
          <w:szCs w:val="28"/>
        </w:rPr>
        <w:t xml:space="preserve">统一回复。   </w:t>
      </w:r>
    </w:p>
    <w:p w14:paraId="4379E122">
      <w:pPr>
        <w:spacing w:line="360" w:lineRule="auto"/>
        <w:ind w:firstLine="560" w:firstLineChars="200"/>
        <w:rPr>
          <w:rFonts w:hint="eastAsia" w:ascii="宋体" w:hAnsi="宋体" w:cs="宋体"/>
          <w:b/>
          <w:bCs/>
          <w:sz w:val="28"/>
          <w:szCs w:val="28"/>
        </w:rPr>
      </w:pPr>
      <w:r>
        <w:rPr>
          <w:rFonts w:hint="eastAsia" w:ascii="宋体" w:hAnsi="宋体" w:cs="宋体"/>
          <w:sz w:val="28"/>
          <w:szCs w:val="28"/>
        </w:rPr>
        <w:t>3.投标方式：</w:t>
      </w:r>
      <w:r>
        <w:rPr>
          <w:rFonts w:hint="eastAsia" w:ascii="宋体" w:hAnsi="宋体" w:cs="宋体"/>
          <w:b/>
          <w:bCs/>
          <w:sz w:val="28"/>
          <w:szCs w:val="28"/>
        </w:rPr>
        <w:t>统一采用密标加章方式</w:t>
      </w:r>
    </w:p>
    <w:p w14:paraId="405C8640">
      <w:pPr>
        <w:spacing w:line="360" w:lineRule="auto"/>
        <w:ind w:firstLine="560" w:firstLineChars="200"/>
        <w:rPr>
          <w:rFonts w:hint="eastAsia" w:ascii="宋体" w:hAnsi="宋体" w:cs="宋体"/>
          <w:sz w:val="28"/>
          <w:szCs w:val="28"/>
        </w:rPr>
      </w:pPr>
      <w:r>
        <w:rPr>
          <w:rFonts w:hint="eastAsia" w:ascii="宋体" w:hAnsi="宋体" w:cs="宋体"/>
          <w:sz w:val="28"/>
          <w:szCs w:val="28"/>
        </w:rPr>
        <w:t>4.交标截止时间及地点：所有投标文件应于</w:t>
      </w:r>
      <w:r>
        <w:rPr>
          <w:rFonts w:hint="eastAsia" w:ascii="宋体" w:hAnsi="宋体" w:cs="宋体"/>
          <w:sz w:val="28"/>
          <w:szCs w:val="28"/>
          <w:u w:val="single"/>
          <w:lang w:val="en-US" w:eastAsia="zh-CN"/>
        </w:rPr>
        <w:t>2025</w:t>
      </w:r>
      <w:r>
        <w:rPr>
          <w:rFonts w:hint="eastAsia" w:ascii="宋体" w:hAnsi="宋体" w:cs="宋体"/>
          <w:sz w:val="28"/>
          <w:szCs w:val="28"/>
          <w:u w:val="single"/>
        </w:rPr>
        <w:t xml:space="preserve">年 </w:t>
      </w:r>
      <w:r>
        <w:rPr>
          <w:rFonts w:hint="eastAsia" w:ascii="宋体" w:hAnsi="宋体" w:cs="宋体"/>
          <w:sz w:val="28"/>
          <w:szCs w:val="28"/>
          <w:u w:val="single"/>
          <w:lang w:val="en-US" w:eastAsia="zh-CN"/>
        </w:rPr>
        <w:t>11</w:t>
      </w:r>
      <w:r>
        <w:rPr>
          <w:rFonts w:hint="eastAsia" w:ascii="宋体" w:hAnsi="宋体" w:cs="宋体"/>
          <w:sz w:val="28"/>
          <w:szCs w:val="28"/>
          <w:u w:val="single"/>
        </w:rPr>
        <w:t>月</w:t>
      </w:r>
      <w:r>
        <w:rPr>
          <w:rFonts w:hint="eastAsia" w:ascii="宋体" w:hAnsi="宋体" w:cs="宋体"/>
          <w:sz w:val="28"/>
          <w:szCs w:val="28"/>
          <w:u w:val="single"/>
          <w:lang w:val="en-US" w:eastAsia="zh-CN"/>
        </w:rPr>
        <w:t>11</w:t>
      </w:r>
      <w:r>
        <w:rPr>
          <w:rFonts w:hint="eastAsia" w:ascii="宋体" w:hAnsi="宋体" w:cs="宋体"/>
          <w:sz w:val="28"/>
          <w:szCs w:val="28"/>
          <w:u w:val="single"/>
        </w:rPr>
        <w:t>日18点</w:t>
      </w:r>
      <w:r>
        <w:rPr>
          <w:rFonts w:hint="eastAsia" w:ascii="宋体" w:hAnsi="宋体" w:cs="宋体"/>
          <w:sz w:val="28"/>
          <w:szCs w:val="28"/>
        </w:rPr>
        <w:t>前递交到：广东省深圳市南山区方大城T2号楼20层</w:t>
      </w:r>
    </w:p>
    <w:p w14:paraId="428FE3CD">
      <w:pPr>
        <w:spacing w:line="360" w:lineRule="auto"/>
        <w:ind w:firstLine="560" w:firstLineChars="200"/>
        <w:rPr>
          <w:rFonts w:hint="eastAsia" w:ascii="宋体" w:hAnsi="宋体" w:cs="宋体"/>
          <w:sz w:val="28"/>
          <w:szCs w:val="28"/>
        </w:rPr>
      </w:pPr>
      <w:r>
        <w:rPr>
          <w:rFonts w:hint="eastAsia" w:ascii="宋体" w:hAnsi="宋体" w:cs="宋体"/>
          <w:sz w:val="28"/>
          <w:szCs w:val="28"/>
        </w:rPr>
        <w:t>5.本次招标</w:t>
      </w:r>
    </w:p>
    <w:p w14:paraId="55FFEB4D">
      <w:pPr>
        <w:pStyle w:val="24"/>
        <w:tabs>
          <w:tab w:val="left" w:pos="6960"/>
        </w:tabs>
        <w:spacing w:line="360" w:lineRule="auto"/>
        <w:ind w:right="241" w:firstLine="560" w:firstLineChars="200"/>
        <w:rPr>
          <w:rFonts w:hint="eastAsia" w:hAnsi="宋体" w:cs="宋体"/>
          <w:b/>
          <w:bCs/>
          <w:sz w:val="28"/>
          <w:szCs w:val="28"/>
        </w:rPr>
      </w:pPr>
      <w:r>
        <w:rPr>
          <w:rFonts w:hint="eastAsia" w:hAnsi="宋体" w:cs="宋体"/>
          <w:sz w:val="28"/>
          <w:szCs w:val="28"/>
        </w:rPr>
        <w:t>招 标 人：</w:t>
      </w:r>
      <w:r>
        <w:rPr>
          <w:rFonts w:hint="eastAsia" w:hAnsi="宋体" w:cs="宋体"/>
          <w:b/>
          <w:bCs/>
          <w:sz w:val="28"/>
          <w:szCs w:val="28"/>
        </w:rPr>
        <w:t>景田(深圳)食品饮料集团有限公司</w:t>
      </w:r>
    </w:p>
    <w:p w14:paraId="13A5B2BA">
      <w:pPr>
        <w:spacing w:line="360" w:lineRule="auto"/>
        <w:ind w:firstLine="560" w:firstLineChars="200"/>
        <w:rPr>
          <w:rFonts w:hint="eastAsia" w:ascii="宋体" w:hAnsi="宋体" w:cs="宋体"/>
          <w:sz w:val="28"/>
          <w:szCs w:val="28"/>
        </w:rPr>
      </w:pPr>
      <w:r>
        <w:rPr>
          <w:rFonts w:hint="eastAsia" w:ascii="宋体" w:hAnsi="宋体" w:cs="宋体"/>
          <w:sz w:val="28"/>
          <w:szCs w:val="28"/>
        </w:rPr>
        <w:t>地    址：广东省深圳市南山区方大城T2号楼20层</w:t>
      </w:r>
    </w:p>
    <w:p w14:paraId="20B5BE7F">
      <w:pPr>
        <w:spacing w:line="360" w:lineRule="auto"/>
        <w:ind w:firstLine="560" w:firstLineChars="200"/>
        <w:rPr>
          <w:rFonts w:hint="eastAsia" w:ascii="宋体" w:hAnsi="宋体" w:cs="宋体"/>
          <w:sz w:val="28"/>
          <w:szCs w:val="28"/>
          <w:u w:val="single"/>
        </w:rPr>
      </w:pPr>
      <w:r>
        <w:rPr>
          <w:rFonts w:hint="eastAsia" w:ascii="宋体" w:hAnsi="宋体" w:cs="宋体"/>
          <w:sz w:val="28"/>
          <w:szCs w:val="28"/>
        </w:rPr>
        <w:t xml:space="preserve">联 系 人： 广东省购电招标小组    </w:t>
      </w:r>
    </w:p>
    <w:p w14:paraId="73B112A9">
      <w:pPr>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联系电话：   18682260514     </w:t>
      </w:r>
    </w:p>
    <w:p w14:paraId="2750846C">
      <w:pPr>
        <w:spacing w:line="360" w:lineRule="auto"/>
        <w:ind w:firstLine="560" w:firstLineChars="200"/>
        <w:rPr>
          <w:rFonts w:hint="eastAsia" w:ascii="宋体" w:hAnsi="宋体" w:cs="宋体"/>
          <w:sz w:val="28"/>
          <w:szCs w:val="28"/>
          <w:u w:val="single"/>
        </w:rPr>
      </w:pPr>
      <w:r>
        <w:rPr>
          <w:rFonts w:hint="eastAsia" w:ascii="宋体" w:hAnsi="宋体" w:cs="宋体"/>
          <w:sz w:val="28"/>
          <w:szCs w:val="28"/>
        </w:rPr>
        <w:t xml:space="preserve">电子邮箱： maoming@ganten.com.cn  </w:t>
      </w:r>
    </w:p>
    <w:p w14:paraId="42A42657">
      <w:pPr>
        <w:spacing w:line="360" w:lineRule="auto"/>
        <w:ind w:firstLine="560" w:firstLineChars="200"/>
        <w:rPr>
          <w:rFonts w:hint="eastAsia" w:ascii="宋体" w:hAnsi="宋体" w:cs="宋体"/>
          <w:sz w:val="28"/>
          <w:szCs w:val="28"/>
        </w:rPr>
      </w:pPr>
      <w:r>
        <w:rPr>
          <w:rFonts w:hint="eastAsia" w:ascii="宋体" w:hAnsi="宋体" w:cs="宋体"/>
          <w:sz w:val="28"/>
          <w:szCs w:val="28"/>
        </w:rPr>
        <w:t>6.招标投诉人联系方式：</w:t>
      </w:r>
    </w:p>
    <w:p w14:paraId="7DAD8AED">
      <w:pPr>
        <w:spacing w:line="360" w:lineRule="auto"/>
        <w:ind w:firstLine="560" w:firstLineChars="200"/>
        <w:rPr>
          <w:rFonts w:hint="eastAsia" w:ascii="宋体" w:hAnsi="宋体" w:cs="宋体"/>
          <w:sz w:val="28"/>
          <w:szCs w:val="28"/>
        </w:rPr>
      </w:pPr>
      <w:r>
        <w:rPr>
          <w:rFonts w:hint="eastAsia" w:ascii="宋体" w:hAnsi="宋体" w:cs="宋体"/>
          <w:sz w:val="28"/>
          <w:szCs w:val="28"/>
        </w:rPr>
        <w:t>电话：0755 26788887-6020</w:t>
      </w:r>
    </w:p>
    <w:p w14:paraId="4FE4C8C8">
      <w:pPr>
        <w:spacing w:line="360" w:lineRule="auto"/>
        <w:rPr>
          <w:rFonts w:hint="eastAsia" w:ascii="宋体" w:hAnsi="宋体" w:cs="宋体"/>
          <w:sz w:val="28"/>
          <w:szCs w:val="28"/>
        </w:rPr>
      </w:pPr>
    </w:p>
    <w:p w14:paraId="3673665B">
      <w:pPr>
        <w:pStyle w:val="24"/>
        <w:tabs>
          <w:tab w:val="left" w:pos="6960"/>
        </w:tabs>
        <w:spacing w:line="360" w:lineRule="auto"/>
        <w:ind w:left="3840" w:leftChars="1600" w:right="241"/>
        <w:rPr>
          <w:rFonts w:hint="eastAsia" w:hAnsi="宋体" w:cs="宋体"/>
          <w:b/>
          <w:bCs/>
          <w:sz w:val="28"/>
          <w:szCs w:val="28"/>
        </w:rPr>
      </w:pPr>
    </w:p>
    <w:p w14:paraId="4F014370">
      <w:pPr>
        <w:pStyle w:val="24"/>
        <w:tabs>
          <w:tab w:val="left" w:pos="6960"/>
        </w:tabs>
        <w:spacing w:line="360" w:lineRule="auto"/>
        <w:ind w:right="241" w:firstLine="1968" w:firstLineChars="700"/>
        <w:rPr>
          <w:rFonts w:hint="eastAsia" w:hAnsi="宋体" w:cs="宋体"/>
          <w:bCs/>
          <w:sz w:val="28"/>
          <w:szCs w:val="28"/>
        </w:rPr>
      </w:pPr>
      <w:r>
        <w:rPr>
          <w:rFonts w:hint="eastAsia" w:hAnsi="宋体" w:cs="宋体"/>
          <w:b/>
          <w:bCs/>
          <w:sz w:val="28"/>
          <w:szCs w:val="28"/>
        </w:rPr>
        <w:t>招标人：</w:t>
      </w:r>
      <w:r>
        <w:rPr>
          <w:rFonts w:hint="eastAsia" w:hAnsi="宋体" w:cs="宋体"/>
          <w:bCs/>
          <w:sz w:val="28"/>
          <w:szCs w:val="28"/>
        </w:rPr>
        <w:t xml:space="preserve"> </w:t>
      </w:r>
      <w:r>
        <w:rPr>
          <w:rFonts w:hint="eastAsia" w:hAnsi="宋体" w:cs="宋体"/>
          <w:b/>
          <w:bCs/>
          <w:sz w:val="28"/>
          <w:szCs w:val="28"/>
        </w:rPr>
        <w:t>景田(深圳)食品饮料集团有限公司</w:t>
      </w:r>
    </w:p>
    <w:p w14:paraId="4B3B28AF">
      <w:pPr>
        <w:pStyle w:val="24"/>
        <w:tabs>
          <w:tab w:val="left" w:pos="6960"/>
        </w:tabs>
        <w:spacing w:line="360" w:lineRule="auto"/>
        <w:ind w:left="3840" w:leftChars="1600" w:right="241"/>
        <w:rPr>
          <w:rFonts w:hint="eastAsia" w:hAnsi="宋体" w:cs="宋体"/>
          <w:bCs/>
          <w:sz w:val="28"/>
          <w:szCs w:val="28"/>
        </w:rPr>
      </w:pPr>
      <w:r>
        <w:rPr>
          <w:rFonts w:hint="eastAsia" w:hAnsi="宋体" w:cs="宋体"/>
          <w:b/>
          <w:bCs/>
          <w:sz w:val="28"/>
          <w:szCs w:val="28"/>
        </w:rPr>
        <w:t>日期：</w:t>
      </w:r>
      <w:r>
        <w:rPr>
          <w:rFonts w:hint="eastAsia" w:hAnsi="宋体" w:cs="宋体"/>
          <w:bCs/>
          <w:sz w:val="28"/>
          <w:szCs w:val="28"/>
          <w:lang w:val="en-US" w:eastAsia="zh-CN"/>
        </w:rPr>
        <w:t>2</w:t>
      </w:r>
      <w:r>
        <w:rPr>
          <w:rFonts w:hint="eastAsia" w:hAnsi="宋体" w:cs="宋体"/>
          <w:bCs/>
          <w:sz w:val="28"/>
          <w:szCs w:val="28"/>
          <w:lang w:val="en-US" w:eastAsia="zh-CN"/>
        </w:rPr>
        <w:t>025</w:t>
      </w:r>
      <w:r>
        <w:rPr>
          <w:rFonts w:hint="eastAsia" w:hAnsi="宋体" w:cs="宋体"/>
          <w:bCs/>
          <w:sz w:val="28"/>
          <w:szCs w:val="28"/>
        </w:rPr>
        <w:t>年</w:t>
      </w:r>
      <w:r>
        <w:rPr>
          <w:rFonts w:hint="eastAsia" w:hAnsi="宋体" w:cs="宋体"/>
          <w:bCs/>
          <w:sz w:val="28"/>
          <w:szCs w:val="28"/>
          <w:lang w:val="en-US" w:eastAsia="zh-CN"/>
        </w:rPr>
        <w:t>1</w:t>
      </w:r>
      <w:r>
        <w:rPr>
          <w:rFonts w:hint="eastAsia" w:hAnsi="宋体" w:cs="宋体"/>
          <w:bCs/>
          <w:sz w:val="28"/>
          <w:szCs w:val="28"/>
          <w:lang w:val="en-US" w:eastAsia="zh-CN"/>
        </w:rPr>
        <w:t>1</w:t>
      </w:r>
      <w:r>
        <w:rPr>
          <w:rFonts w:hint="eastAsia" w:hAnsi="宋体" w:cs="宋体"/>
          <w:bCs/>
          <w:sz w:val="28"/>
          <w:szCs w:val="28"/>
        </w:rPr>
        <w:t>月</w:t>
      </w:r>
      <w:r>
        <w:rPr>
          <w:rFonts w:hint="eastAsia" w:hAnsi="宋体" w:cs="宋体"/>
          <w:bCs/>
          <w:sz w:val="28"/>
          <w:szCs w:val="28"/>
          <w:lang w:val="en-US" w:eastAsia="zh-CN"/>
        </w:rPr>
        <w:t>4</w:t>
      </w:r>
      <w:r>
        <w:rPr>
          <w:rFonts w:hint="eastAsia" w:hAnsi="宋体" w:cs="宋体"/>
          <w:bCs/>
          <w:sz w:val="28"/>
          <w:szCs w:val="28"/>
        </w:rPr>
        <w:t>日</w:t>
      </w:r>
    </w:p>
    <w:p w14:paraId="1AFEA9BB">
      <w:pPr>
        <w:tabs>
          <w:tab w:val="left" w:pos="6480"/>
        </w:tabs>
        <w:spacing w:line="360" w:lineRule="auto"/>
        <w:rPr>
          <w:rFonts w:hint="eastAsia" w:ascii="宋体" w:hAnsi="宋体" w:cs="宋体"/>
          <w:sz w:val="28"/>
          <w:szCs w:val="28"/>
          <w:u w:val="single"/>
        </w:rPr>
      </w:pPr>
    </w:p>
    <w:p w14:paraId="4604FC0D">
      <w:pPr>
        <w:tabs>
          <w:tab w:val="left" w:pos="6480"/>
        </w:tabs>
        <w:spacing w:line="360" w:lineRule="auto"/>
        <w:sectPr>
          <w:pgSz w:w="11907" w:h="16840"/>
          <w:pgMar w:top="1418" w:right="1701" w:bottom="1418" w:left="1701" w:header="851" w:footer="851" w:gutter="0"/>
          <w:cols w:space="720" w:num="1"/>
          <w:titlePg/>
          <w:docGrid w:linePitch="326" w:charSpace="130"/>
        </w:sectPr>
      </w:pPr>
      <w:r>
        <w:tab/>
      </w:r>
    </w:p>
    <w:p w14:paraId="1E8442A3">
      <w:pPr>
        <w:pStyle w:val="47"/>
        <w:spacing w:line="360" w:lineRule="auto"/>
        <w:rPr>
          <w:rFonts w:hint="eastAsia" w:ascii="宋体" w:hAnsi="宋体" w:cs="宋体"/>
          <w:sz w:val="28"/>
          <w:szCs w:val="28"/>
        </w:rPr>
      </w:pPr>
      <w:bookmarkStart w:id="25" w:name="_Toc95925311"/>
      <w:bookmarkStart w:id="26" w:name="_Toc25950"/>
      <w:bookmarkStart w:id="27" w:name="_Toc27530"/>
      <w:bookmarkStart w:id="28" w:name="_Toc26539"/>
      <w:bookmarkStart w:id="29" w:name="_Toc276"/>
      <w:bookmarkStart w:id="30" w:name="_Toc21909"/>
      <w:bookmarkStart w:id="31" w:name="_Toc95925480"/>
      <w:r>
        <w:rPr>
          <w:rFonts w:hint="eastAsia" w:ascii="宋体" w:hAnsi="宋体" w:cs="宋体"/>
          <w:sz w:val="28"/>
          <w:szCs w:val="28"/>
        </w:rPr>
        <w:t>第三章  投标须知</w:t>
      </w:r>
      <w:bookmarkEnd w:id="25"/>
      <w:bookmarkEnd w:id="26"/>
      <w:bookmarkEnd w:id="27"/>
      <w:bookmarkEnd w:id="28"/>
      <w:bookmarkEnd w:id="29"/>
      <w:bookmarkEnd w:id="30"/>
      <w:bookmarkEnd w:id="31"/>
      <w:bookmarkStart w:id="32" w:name="bt投标须知前附表"/>
      <w:bookmarkEnd w:id="32"/>
      <w:bookmarkStart w:id="33" w:name="_Hlt42329553"/>
      <w:bookmarkEnd w:id="33"/>
      <w:bookmarkStart w:id="34" w:name="bt总则"/>
      <w:bookmarkEnd w:id="34"/>
      <w:bookmarkStart w:id="35" w:name="bt投标须知1"/>
      <w:bookmarkEnd w:id="35"/>
    </w:p>
    <w:p w14:paraId="2B50E730">
      <w:pPr>
        <w:pStyle w:val="2"/>
        <w:numPr>
          <w:ilvl w:val="0"/>
          <w:numId w:val="0"/>
        </w:numPr>
        <w:spacing w:line="360" w:lineRule="auto"/>
        <w:jc w:val="both"/>
        <w:rPr>
          <w:rFonts w:hint="eastAsia" w:ascii="宋体" w:hAnsi="宋体" w:cs="宋体"/>
          <w:sz w:val="28"/>
          <w:szCs w:val="28"/>
        </w:rPr>
      </w:pPr>
      <w:bookmarkStart w:id="36" w:name="_Toc95925312"/>
      <w:bookmarkStart w:id="37" w:name="_Toc11260"/>
      <w:bookmarkStart w:id="38" w:name="_Toc13044"/>
      <w:bookmarkStart w:id="39" w:name="_Toc95925481"/>
      <w:bookmarkStart w:id="40" w:name="_Toc23463"/>
      <w:bookmarkStart w:id="41" w:name="_Toc27891"/>
      <w:bookmarkStart w:id="42" w:name="_Toc17736"/>
      <w:r>
        <w:rPr>
          <w:rFonts w:hint="eastAsia" w:ascii="宋体" w:hAnsi="宋体" w:cs="宋体"/>
          <w:sz w:val="28"/>
          <w:szCs w:val="28"/>
        </w:rPr>
        <w:t>1.项目说明</w:t>
      </w:r>
      <w:bookmarkEnd w:id="36"/>
      <w:bookmarkEnd w:id="37"/>
      <w:bookmarkEnd w:id="38"/>
      <w:bookmarkEnd w:id="39"/>
      <w:bookmarkEnd w:id="40"/>
      <w:bookmarkEnd w:id="41"/>
      <w:bookmarkEnd w:id="42"/>
    </w:p>
    <w:p w14:paraId="6EFDB555">
      <w:pPr>
        <w:spacing w:line="360" w:lineRule="auto"/>
        <w:ind w:firstLine="560" w:firstLineChars="200"/>
        <w:rPr>
          <w:rFonts w:hint="eastAsia" w:ascii="宋体" w:hAnsi="宋体" w:cs="宋体"/>
          <w:sz w:val="28"/>
          <w:szCs w:val="28"/>
        </w:rPr>
      </w:pPr>
      <w:r>
        <w:rPr>
          <w:rFonts w:hint="eastAsia" w:ascii="宋体" w:hAnsi="宋体" w:cs="宋体"/>
          <w:sz w:val="28"/>
          <w:szCs w:val="28"/>
        </w:rPr>
        <w:t>1.1 项目名称：</w:t>
      </w:r>
      <w:r>
        <w:rPr>
          <w:rFonts w:hint="eastAsia" w:ascii="宋体" w:hAnsi="宋体" w:cs="宋体"/>
          <w:sz w:val="28"/>
          <w:szCs w:val="28"/>
          <w:lang w:val="en-US" w:eastAsia="zh-CN"/>
        </w:rPr>
        <w:t>2026</w:t>
      </w:r>
      <w:r>
        <w:rPr>
          <w:rFonts w:hint="eastAsia" w:ascii="宋体" w:hAnsi="宋体" w:cs="宋体"/>
          <w:sz w:val="28"/>
          <w:szCs w:val="28"/>
        </w:rPr>
        <w:t>年预购电业务；</w:t>
      </w:r>
    </w:p>
    <w:p w14:paraId="60FDF994">
      <w:pPr>
        <w:spacing w:line="360" w:lineRule="auto"/>
        <w:ind w:firstLine="560" w:firstLineChars="200"/>
        <w:rPr>
          <w:rFonts w:hint="eastAsia" w:ascii="宋体" w:hAnsi="宋体" w:cs="宋体"/>
          <w:sz w:val="28"/>
          <w:szCs w:val="28"/>
        </w:rPr>
      </w:pPr>
      <w:r>
        <w:rPr>
          <w:rFonts w:hint="eastAsia" w:ascii="宋体" w:hAnsi="宋体" w:cs="宋体"/>
          <w:sz w:val="28"/>
          <w:szCs w:val="28"/>
        </w:rPr>
        <w:t>1.2 项目地点：广东省</w:t>
      </w:r>
    </w:p>
    <w:p w14:paraId="1632A8B4">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1.3 项目规模：广东罗浮百岁山食品饮料有限公司预计用电量</w:t>
      </w:r>
      <w:r>
        <w:rPr>
          <w:rFonts w:hint="eastAsia" w:ascii="宋体" w:hAnsi="宋体" w:eastAsia="宋体" w:cs="宋体"/>
          <w:sz w:val="28"/>
          <w:szCs w:val="28"/>
        </w:rPr>
        <w:t>3800w度；惠州景田食品饮料有限公司预计用电量：2000W度；广州市百岁山饮料有限公司预计用电量：380W度；阳江景田饮料有限公司</w:t>
      </w:r>
      <w:r>
        <w:rPr>
          <w:rFonts w:hint="eastAsia" w:ascii="宋体" w:hAnsi="宋体" w:eastAsia="宋体" w:cs="宋体"/>
          <w:sz w:val="28"/>
          <w:szCs w:val="28"/>
          <w:lang w:val="en-US" w:eastAsia="zh-CN"/>
        </w:rPr>
        <w:t>预计用电量：900W度；</w:t>
      </w:r>
      <w:r>
        <w:rPr>
          <w:rFonts w:hint="eastAsia" w:ascii="宋体" w:hAnsi="宋体" w:eastAsia="宋体" w:cs="宋体"/>
          <w:sz w:val="28"/>
          <w:szCs w:val="28"/>
        </w:rPr>
        <w:t>百岁山（梅州）饮料有限公司预计用电量：1500W度；</w:t>
      </w:r>
    </w:p>
    <w:p w14:paraId="46A5DD3A">
      <w:pPr>
        <w:pStyle w:val="2"/>
        <w:numPr>
          <w:ilvl w:val="0"/>
          <w:numId w:val="0"/>
        </w:numPr>
        <w:spacing w:line="360" w:lineRule="auto"/>
        <w:jc w:val="both"/>
        <w:rPr>
          <w:rFonts w:hint="eastAsia" w:ascii="宋体" w:hAnsi="宋体" w:cs="宋体"/>
          <w:sz w:val="28"/>
          <w:szCs w:val="28"/>
        </w:rPr>
      </w:pPr>
      <w:bookmarkStart w:id="43" w:name="_Toc4597"/>
      <w:bookmarkStart w:id="44" w:name="_Toc95925313"/>
      <w:bookmarkStart w:id="45" w:name="_Toc30955"/>
      <w:bookmarkStart w:id="46" w:name="_Toc7494"/>
      <w:bookmarkStart w:id="47" w:name="_Toc11756"/>
      <w:bookmarkStart w:id="48" w:name="_Toc95925482"/>
      <w:bookmarkStart w:id="49" w:name="_Toc14361"/>
      <w:r>
        <w:rPr>
          <w:rFonts w:hint="eastAsia" w:ascii="宋体" w:hAnsi="宋体" w:cs="宋体"/>
          <w:sz w:val="28"/>
          <w:szCs w:val="28"/>
        </w:rPr>
        <w:t>2. 招标范围及要求</w:t>
      </w:r>
      <w:bookmarkEnd w:id="43"/>
      <w:bookmarkEnd w:id="44"/>
      <w:bookmarkEnd w:id="45"/>
      <w:bookmarkEnd w:id="46"/>
      <w:bookmarkEnd w:id="47"/>
      <w:bookmarkEnd w:id="48"/>
      <w:bookmarkEnd w:id="49"/>
      <w:bookmarkStart w:id="50" w:name="_Hlk40776093"/>
      <w:r>
        <w:rPr>
          <w:rFonts w:hint="eastAsia" w:ascii="宋体" w:hAnsi="宋体" w:cs="宋体"/>
          <w:sz w:val="28"/>
          <w:szCs w:val="28"/>
        </w:rPr>
        <w:t>：</w:t>
      </w:r>
    </w:p>
    <w:p w14:paraId="11A78E98">
      <w:pPr>
        <w:spacing w:line="360" w:lineRule="auto"/>
        <w:ind w:firstLine="560" w:firstLineChars="200"/>
        <w:rPr>
          <w:rFonts w:hint="eastAsia" w:ascii="宋体" w:hAnsi="宋体" w:cs="宋体"/>
          <w:sz w:val="28"/>
          <w:szCs w:val="28"/>
        </w:rPr>
      </w:pPr>
      <w:r>
        <w:rPr>
          <w:rFonts w:hint="eastAsia" w:ascii="宋体" w:hAnsi="宋体" w:cs="宋体"/>
          <w:sz w:val="28"/>
          <w:szCs w:val="28"/>
        </w:rPr>
        <w:t>2.1 对</w:t>
      </w:r>
      <w:r>
        <w:rPr>
          <w:rFonts w:hint="eastAsia" w:ascii="宋体" w:hAnsi="宋体" w:cs="宋体"/>
          <w:sz w:val="28"/>
          <w:szCs w:val="28"/>
          <w:lang w:val="en-US" w:eastAsia="zh-CN"/>
        </w:rPr>
        <w:t>2026</w:t>
      </w:r>
      <w:r>
        <w:rPr>
          <w:rFonts w:hint="eastAsia" w:ascii="宋体" w:hAnsi="宋体" w:cs="宋体"/>
          <w:sz w:val="28"/>
          <w:szCs w:val="28"/>
        </w:rPr>
        <w:t>年的用电量进行预购，共计预购电量8</w:t>
      </w:r>
      <w:r>
        <w:rPr>
          <w:rFonts w:hint="eastAsia" w:ascii="宋体" w:hAnsi="宋体" w:cs="宋体"/>
          <w:sz w:val="28"/>
          <w:szCs w:val="28"/>
          <w:lang w:val="en-US" w:eastAsia="zh-CN"/>
        </w:rPr>
        <w:t>500</w:t>
      </w:r>
      <w:r>
        <w:rPr>
          <w:rFonts w:hint="eastAsia" w:ascii="宋体" w:hAnsi="宋体" w:cs="宋体"/>
          <w:sz w:val="28"/>
          <w:szCs w:val="28"/>
        </w:rPr>
        <w:t>万度，合同分五个合同主体（电力用户）分别签署。</w:t>
      </w:r>
    </w:p>
    <w:p w14:paraId="3D68AD30">
      <w:pPr>
        <w:spacing w:line="360" w:lineRule="auto"/>
        <w:ind w:firstLine="560" w:firstLineChars="200"/>
        <w:rPr>
          <w:rFonts w:hint="eastAsia" w:ascii="宋体" w:hAnsi="宋体" w:eastAsia="宋体" w:cs="宋体"/>
          <w:sz w:val="28"/>
          <w:szCs w:val="28"/>
          <w:lang w:eastAsia="zh-CN"/>
        </w:rPr>
      </w:pPr>
      <w:r>
        <w:rPr>
          <w:rFonts w:hint="eastAsia" w:ascii="宋体" w:hAnsi="宋体" w:cs="宋体"/>
          <w:sz w:val="28"/>
          <w:szCs w:val="28"/>
        </w:rPr>
        <w:t>2.2  90%固定最优价，10%市场联动；</w:t>
      </w:r>
      <w:r>
        <w:rPr>
          <w:rFonts w:hint="eastAsia" w:ascii="宋体" w:hAnsi="宋体" w:cs="宋体"/>
          <w:sz w:val="28"/>
          <w:szCs w:val="28"/>
          <w:lang w:val="en-US" w:eastAsia="zh-CN"/>
        </w:rPr>
        <w:t>80</w:t>
      </w:r>
      <w:r>
        <w:rPr>
          <w:rFonts w:hint="eastAsia" w:ascii="宋体" w:hAnsi="宋体" w:cs="宋体"/>
          <w:sz w:val="28"/>
          <w:szCs w:val="28"/>
        </w:rPr>
        <w:t xml:space="preserve">%固定最优价，20%市场联动； </w:t>
      </w:r>
      <w:r>
        <w:rPr>
          <w:rFonts w:hint="eastAsia" w:ascii="宋体" w:hAnsi="宋体" w:cs="宋体"/>
          <w:sz w:val="28"/>
          <w:szCs w:val="28"/>
          <w:lang w:val="en-US" w:eastAsia="zh-CN"/>
        </w:rPr>
        <w:t>70</w:t>
      </w:r>
      <w:r>
        <w:rPr>
          <w:rFonts w:hint="eastAsia" w:ascii="宋体" w:hAnsi="宋体" w:cs="宋体"/>
          <w:sz w:val="28"/>
          <w:szCs w:val="28"/>
        </w:rPr>
        <w:t>%固定最优价，30%市场联动。</w:t>
      </w:r>
      <w:r>
        <w:rPr>
          <w:rFonts w:hint="eastAsia" w:ascii="宋体" w:hAnsi="宋体" w:cs="宋体"/>
          <w:sz w:val="28"/>
          <w:szCs w:val="28"/>
          <w:lang w:eastAsia="zh-CN"/>
        </w:rPr>
        <w:t>（</w:t>
      </w:r>
      <w:r>
        <w:rPr>
          <w:rFonts w:hint="eastAsia" w:ascii="宋体" w:hAnsi="宋体" w:cs="宋体"/>
          <w:sz w:val="28"/>
          <w:szCs w:val="28"/>
          <w:lang w:val="en-US" w:eastAsia="zh-CN"/>
        </w:rPr>
        <w:t>可以多个方案同时提报</w:t>
      </w:r>
      <w:r>
        <w:rPr>
          <w:rFonts w:hint="eastAsia" w:ascii="宋体" w:hAnsi="宋体" w:cs="宋体"/>
          <w:sz w:val="28"/>
          <w:szCs w:val="28"/>
          <w:lang w:eastAsia="zh-CN"/>
        </w:rPr>
        <w:t>）</w:t>
      </w:r>
    </w:p>
    <w:p w14:paraId="4F4D92E0">
      <w:pPr>
        <w:spacing w:line="360" w:lineRule="auto"/>
        <w:ind w:firstLine="560" w:firstLineChars="200"/>
        <w:rPr>
          <w:rFonts w:hint="eastAsia" w:ascii="宋体" w:hAnsi="宋体" w:cs="宋体"/>
          <w:sz w:val="28"/>
          <w:szCs w:val="28"/>
        </w:rPr>
      </w:pPr>
      <w:r>
        <w:rPr>
          <w:rFonts w:hint="eastAsia" w:ascii="宋体" w:hAnsi="宋体" w:cs="宋体"/>
          <w:sz w:val="28"/>
          <w:szCs w:val="28"/>
        </w:rPr>
        <w:t>2.3 投标单位投标前5天需支付投标保证金</w:t>
      </w:r>
      <w:r>
        <w:rPr>
          <w:rFonts w:hint="eastAsia" w:ascii="宋体" w:hAnsi="宋体" w:cs="宋体"/>
          <w:sz w:val="28"/>
          <w:szCs w:val="28"/>
          <w:lang w:val="en-US" w:eastAsia="zh-CN"/>
        </w:rPr>
        <w:t>10</w:t>
      </w:r>
      <w:r>
        <w:rPr>
          <w:rFonts w:hint="eastAsia" w:ascii="宋体" w:hAnsi="宋体" w:cs="宋体"/>
          <w:sz w:val="28"/>
          <w:szCs w:val="28"/>
        </w:rPr>
        <w:t>万元</w:t>
      </w:r>
      <w:r>
        <w:rPr>
          <w:rFonts w:hint="eastAsia" w:ascii="宋体" w:hAnsi="宋体" w:cs="宋体"/>
          <w:sz w:val="28"/>
          <w:szCs w:val="28"/>
          <w:lang w:eastAsia="zh-CN"/>
        </w:rPr>
        <w:t>（</w:t>
      </w:r>
      <w:r>
        <w:rPr>
          <w:rFonts w:hint="eastAsia" w:ascii="宋体" w:hAnsi="宋体" w:cs="宋体"/>
          <w:sz w:val="28"/>
          <w:szCs w:val="28"/>
          <w:lang w:val="en-US" w:eastAsia="zh-CN"/>
        </w:rPr>
        <w:t>拾万元</w:t>
      </w:r>
      <w:r>
        <w:rPr>
          <w:rFonts w:hint="eastAsia" w:ascii="宋体" w:hAnsi="宋体" w:cs="宋体"/>
          <w:sz w:val="28"/>
          <w:szCs w:val="28"/>
          <w:lang w:eastAsia="zh-CN"/>
        </w:rPr>
        <w:t>）</w:t>
      </w:r>
      <w:r>
        <w:rPr>
          <w:rFonts w:hint="eastAsia" w:ascii="宋体" w:hAnsi="宋体" w:cs="宋体"/>
          <w:sz w:val="28"/>
          <w:szCs w:val="28"/>
        </w:rPr>
        <w:t>，完成开标结果后</w:t>
      </w:r>
      <w:r>
        <w:rPr>
          <w:rFonts w:hint="eastAsia" w:ascii="宋体" w:hAnsi="宋体" w:cs="宋体"/>
          <w:sz w:val="28"/>
          <w:szCs w:val="28"/>
          <w:lang w:val="en-US" w:eastAsia="zh-CN"/>
        </w:rPr>
        <w:t>15</w:t>
      </w:r>
      <w:r>
        <w:rPr>
          <w:rFonts w:hint="eastAsia" w:ascii="宋体" w:hAnsi="宋体" w:cs="宋体"/>
          <w:sz w:val="28"/>
          <w:szCs w:val="28"/>
        </w:rPr>
        <w:t>个工作日内无息</w:t>
      </w:r>
      <w:r>
        <w:rPr>
          <w:rFonts w:hint="eastAsia" w:ascii="宋体" w:hAnsi="宋体" w:cs="宋体"/>
          <w:sz w:val="28"/>
          <w:szCs w:val="28"/>
          <w:lang w:val="en-US" w:eastAsia="zh-CN"/>
        </w:rPr>
        <w:t>退回</w:t>
      </w:r>
      <w:r>
        <w:rPr>
          <w:rFonts w:hint="eastAsia" w:ascii="宋体" w:hAnsi="宋体" w:cs="宋体"/>
          <w:sz w:val="28"/>
          <w:szCs w:val="28"/>
        </w:rPr>
        <w:t>，款项转入以下帐户：</w:t>
      </w:r>
    </w:p>
    <w:p w14:paraId="3BDE39D5">
      <w:pPr>
        <w:spacing w:line="360" w:lineRule="auto"/>
        <w:ind w:firstLine="560" w:firstLineChars="200"/>
        <w:rPr>
          <w:rFonts w:hint="eastAsia" w:ascii="宋体" w:hAnsi="宋体" w:cs="宋体"/>
          <w:sz w:val="28"/>
          <w:szCs w:val="28"/>
        </w:rPr>
      </w:pPr>
      <w:r>
        <w:rPr>
          <w:rFonts w:hint="eastAsia" w:ascii="宋体" w:hAnsi="宋体" w:cs="宋体"/>
          <w:sz w:val="28"/>
          <w:szCs w:val="28"/>
        </w:rPr>
        <w:t>开户名称：</w:t>
      </w:r>
      <w:r>
        <w:rPr>
          <w:rFonts w:hint="eastAsia" w:ascii="宋体" w:hAnsi="宋体" w:eastAsia="宋体" w:cs="宋体"/>
          <w:sz w:val="28"/>
          <w:szCs w:val="28"/>
        </w:rPr>
        <w:t>景田（深圳）食品饮料集团有限公司</w:t>
      </w:r>
    </w:p>
    <w:p w14:paraId="2E21F66E">
      <w:pPr>
        <w:spacing w:line="360" w:lineRule="auto"/>
        <w:ind w:firstLine="560" w:firstLineChars="200"/>
        <w:rPr>
          <w:rFonts w:hint="eastAsia" w:ascii="宋体" w:hAnsi="宋体" w:cs="宋体"/>
          <w:sz w:val="28"/>
          <w:szCs w:val="28"/>
        </w:rPr>
      </w:pPr>
      <w:r>
        <w:rPr>
          <w:rFonts w:hint="eastAsia" w:ascii="宋体" w:hAnsi="宋体" w:cs="宋体"/>
          <w:sz w:val="28"/>
          <w:szCs w:val="28"/>
          <w:lang w:val="en-US" w:eastAsia="zh-CN"/>
        </w:rPr>
        <w:t>银行</w:t>
      </w:r>
      <w:r>
        <w:rPr>
          <w:rFonts w:hint="eastAsia" w:ascii="宋体" w:hAnsi="宋体" w:cs="宋体"/>
          <w:sz w:val="28"/>
          <w:szCs w:val="28"/>
        </w:rPr>
        <w:t>帐号：1100 2883 3817 01</w:t>
      </w:r>
    </w:p>
    <w:p w14:paraId="79CE52B9">
      <w:pPr>
        <w:spacing w:line="360" w:lineRule="auto"/>
        <w:ind w:firstLine="560" w:firstLineChars="200"/>
        <w:rPr>
          <w:rFonts w:hint="eastAsia" w:ascii="宋体" w:hAnsi="宋体" w:cs="宋体"/>
          <w:sz w:val="28"/>
          <w:szCs w:val="28"/>
        </w:rPr>
      </w:pPr>
      <w:r>
        <w:rPr>
          <w:rFonts w:hint="eastAsia" w:ascii="宋体" w:hAnsi="宋体" w:cs="宋体"/>
          <w:sz w:val="28"/>
          <w:szCs w:val="28"/>
        </w:rPr>
        <w:t>开户银行：平安银行深圳华侨城支行</w:t>
      </w:r>
    </w:p>
    <w:p w14:paraId="1B08F603">
      <w:pPr>
        <w:spacing w:line="360" w:lineRule="auto"/>
        <w:ind w:firstLine="560" w:firstLineChars="200"/>
        <w:rPr>
          <w:rFonts w:hint="default" w:ascii="宋体" w:hAnsi="宋体" w:eastAsia="宋体" w:cs="宋体"/>
          <w:sz w:val="28"/>
          <w:szCs w:val="28"/>
        </w:rPr>
      </w:pPr>
      <w:r>
        <w:rPr>
          <w:rFonts w:hint="eastAsia" w:ascii="宋体" w:hAnsi="宋体" w:eastAsia="宋体" w:cs="宋体"/>
          <w:sz w:val="28"/>
          <w:szCs w:val="28"/>
        </w:rPr>
        <w:t>汇款</w:t>
      </w:r>
      <w:r>
        <w:rPr>
          <w:rFonts w:hint="default" w:ascii="宋体" w:hAnsi="宋体" w:eastAsia="宋体" w:cs="宋体"/>
          <w:sz w:val="28"/>
          <w:szCs w:val="28"/>
        </w:rPr>
        <w:t>备注：“</w:t>
      </w:r>
      <w:r>
        <w:rPr>
          <w:rFonts w:hint="eastAsia" w:ascii="宋体" w:hAnsi="宋体" w:eastAsia="宋体" w:cs="宋体"/>
          <w:sz w:val="28"/>
          <w:szCs w:val="28"/>
          <w:lang w:val="en-US" w:eastAsia="zh-CN"/>
        </w:rPr>
        <w:t>广东购电</w:t>
      </w:r>
      <w:r>
        <w:rPr>
          <w:rFonts w:hint="default" w:ascii="宋体" w:hAnsi="宋体" w:eastAsia="宋体" w:cs="宋体"/>
          <w:sz w:val="28"/>
          <w:szCs w:val="28"/>
        </w:rPr>
        <w:t>投标保证金”</w:t>
      </w:r>
    </w:p>
    <w:p w14:paraId="37B1E105">
      <w:p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中标单位的保证金在合同执行完毕后15个工作日内无息退回。</w:t>
      </w:r>
    </w:p>
    <w:p w14:paraId="62EA1B94">
      <w:pPr>
        <w:spacing w:line="360" w:lineRule="auto"/>
        <w:ind w:firstLine="560" w:firstLineChars="200"/>
        <w:rPr>
          <w:rFonts w:hint="eastAsia" w:ascii="宋体" w:hAnsi="宋体" w:cs="宋体"/>
          <w:sz w:val="28"/>
          <w:szCs w:val="28"/>
        </w:rPr>
      </w:pPr>
    </w:p>
    <w:bookmarkEnd w:id="50"/>
    <w:p w14:paraId="124B0791">
      <w:pPr>
        <w:pStyle w:val="2"/>
        <w:numPr>
          <w:ilvl w:val="0"/>
          <w:numId w:val="0"/>
        </w:numPr>
        <w:spacing w:line="360" w:lineRule="auto"/>
        <w:jc w:val="both"/>
        <w:rPr>
          <w:rFonts w:hint="eastAsia" w:ascii="宋体" w:hAnsi="宋体" w:cs="宋体"/>
          <w:sz w:val="28"/>
          <w:szCs w:val="28"/>
          <w:lang w:eastAsia="zh-TW"/>
        </w:rPr>
      </w:pPr>
      <w:bookmarkStart w:id="51" w:name="_Toc337"/>
      <w:bookmarkStart w:id="52" w:name="_Toc95925484"/>
      <w:bookmarkStart w:id="53" w:name="_Toc29721"/>
      <w:bookmarkStart w:id="54" w:name="_Toc16344"/>
      <w:bookmarkStart w:id="55" w:name="_Toc6772"/>
      <w:bookmarkStart w:id="56" w:name="_Toc95925315"/>
      <w:bookmarkStart w:id="57" w:name="_Toc23237"/>
      <w:r>
        <w:rPr>
          <w:rFonts w:hint="eastAsia" w:ascii="宋体" w:hAnsi="宋体" w:cs="宋体"/>
          <w:sz w:val="28"/>
          <w:szCs w:val="28"/>
        </w:rPr>
        <w:t>3. 服务承包方式</w:t>
      </w:r>
      <w:bookmarkEnd w:id="51"/>
      <w:bookmarkEnd w:id="52"/>
      <w:bookmarkEnd w:id="53"/>
      <w:bookmarkEnd w:id="54"/>
      <w:bookmarkEnd w:id="55"/>
      <w:bookmarkEnd w:id="56"/>
      <w:bookmarkEnd w:id="57"/>
      <w:r>
        <w:rPr>
          <w:rFonts w:hint="eastAsia" w:ascii="宋体" w:hAnsi="宋体" w:cs="宋体"/>
          <w:sz w:val="28"/>
          <w:szCs w:val="28"/>
        </w:rPr>
        <w:t>：按合同协定模式合作，每月进行核对结算。</w:t>
      </w:r>
      <w:bookmarkStart w:id="58" w:name="_Toc95925316"/>
      <w:bookmarkStart w:id="59" w:name="_Toc95925485"/>
    </w:p>
    <w:p w14:paraId="0BD75DF9">
      <w:pPr>
        <w:pStyle w:val="2"/>
        <w:numPr>
          <w:ilvl w:val="0"/>
          <w:numId w:val="0"/>
        </w:numPr>
        <w:spacing w:line="360" w:lineRule="auto"/>
        <w:jc w:val="both"/>
        <w:rPr>
          <w:rFonts w:hint="eastAsia" w:ascii="宋体" w:hAnsi="宋体" w:cs="宋体"/>
          <w:sz w:val="28"/>
          <w:szCs w:val="28"/>
        </w:rPr>
      </w:pPr>
      <w:r>
        <w:rPr>
          <w:rFonts w:hint="eastAsia" w:ascii="宋体" w:hAnsi="宋体" w:cs="宋体"/>
          <w:sz w:val="28"/>
          <w:szCs w:val="28"/>
        </w:rPr>
        <w:t>4</w:t>
      </w:r>
      <w:bookmarkEnd w:id="58"/>
      <w:bookmarkEnd w:id="59"/>
      <w:bookmarkStart w:id="60" w:name="_Toc4938"/>
      <w:bookmarkStart w:id="61" w:name="_Toc16466"/>
      <w:bookmarkStart w:id="62" w:name="_Toc18561"/>
      <w:bookmarkStart w:id="63" w:name="_Toc20318"/>
      <w:bookmarkStart w:id="64" w:name="_Toc95925317"/>
      <w:bookmarkStart w:id="65" w:name="_Toc3781"/>
      <w:bookmarkStart w:id="66" w:name="_Toc95925486"/>
      <w:r>
        <w:rPr>
          <w:rFonts w:hint="eastAsia" w:ascii="宋体" w:hAnsi="宋体" w:cs="宋体"/>
          <w:sz w:val="28"/>
          <w:szCs w:val="28"/>
        </w:rPr>
        <w:t>.服务期限：20</w:t>
      </w:r>
      <w:r>
        <w:rPr>
          <w:rFonts w:hint="eastAsia" w:ascii="宋体" w:hAnsi="宋体" w:cs="宋体"/>
          <w:sz w:val="28"/>
          <w:szCs w:val="28"/>
          <w:lang w:val="en-US" w:eastAsia="zh-CN"/>
        </w:rPr>
        <w:t>26</w:t>
      </w:r>
      <w:r>
        <w:rPr>
          <w:rFonts w:hint="eastAsia" w:ascii="宋体" w:hAnsi="宋体" w:cs="宋体"/>
          <w:sz w:val="28"/>
          <w:szCs w:val="28"/>
        </w:rPr>
        <w:t>年1月1日至20</w:t>
      </w:r>
      <w:r>
        <w:rPr>
          <w:rFonts w:hint="eastAsia" w:ascii="宋体" w:hAnsi="宋体" w:cs="宋体"/>
          <w:sz w:val="28"/>
          <w:szCs w:val="28"/>
          <w:lang w:val="en-US" w:eastAsia="zh-CN"/>
        </w:rPr>
        <w:t>26</w:t>
      </w:r>
      <w:r>
        <w:rPr>
          <w:rFonts w:hint="eastAsia" w:ascii="宋体" w:hAnsi="宋体" w:cs="宋体"/>
          <w:sz w:val="28"/>
          <w:szCs w:val="28"/>
        </w:rPr>
        <w:t>年12月31日</w:t>
      </w:r>
      <w:bookmarkEnd w:id="60"/>
      <w:bookmarkEnd w:id="61"/>
      <w:bookmarkEnd w:id="62"/>
      <w:bookmarkEnd w:id="63"/>
      <w:bookmarkEnd w:id="64"/>
      <w:bookmarkEnd w:id="65"/>
      <w:bookmarkEnd w:id="66"/>
    </w:p>
    <w:p w14:paraId="5C224AF9">
      <w:pPr>
        <w:pStyle w:val="2"/>
        <w:numPr>
          <w:ilvl w:val="0"/>
          <w:numId w:val="0"/>
        </w:numPr>
        <w:spacing w:line="360" w:lineRule="auto"/>
        <w:jc w:val="both"/>
        <w:rPr>
          <w:rFonts w:hint="eastAsia" w:ascii="宋体" w:hAnsi="宋体" w:cs="宋体"/>
          <w:sz w:val="28"/>
          <w:szCs w:val="28"/>
        </w:rPr>
      </w:pPr>
      <w:bookmarkStart w:id="67" w:name="_Toc95925487"/>
      <w:bookmarkStart w:id="68" w:name="_Toc9699"/>
      <w:bookmarkStart w:id="69" w:name="_Toc20775"/>
      <w:bookmarkStart w:id="70" w:name="_Toc20092"/>
      <w:bookmarkStart w:id="71" w:name="_Toc95925318"/>
      <w:bookmarkStart w:id="72" w:name="_Toc18747"/>
      <w:bookmarkStart w:id="73" w:name="_Toc18061"/>
      <w:r>
        <w:rPr>
          <w:rFonts w:hint="eastAsia" w:ascii="宋体" w:hAnsi="宋体" w:cs="宋体"/>
          <w:sz w:val="28"/>
          <w:szCs w:val="28"/>
        </w:rPr>
        <w:t>5. 投标人资格要求</w:t>
      </w:r>
      <w:bookmarkEnd w:id="67"/>
      <w:bookmarkEnd w:id="68"/>
      <w:bookmarkEnd w:id="69"/>
      <w:bookmarkEnd w:id="70"/>
      <w:bookmarkEnd w:id="71"/>
      <w:bookmarkEnd w:id="72"/>
      <w:bookmarkEnd w:id="73"/>
    </w:p>
    <w:p w14:paraId="5BE977E2">
      <w:pPr>
        <w:spacing w:line="360" w:lineRule="auto"/>
        <w:ind w:firstLine="560" w:firstLineChars="200"/>
        <w:rPr>
          <w:rFonts w:hint="eastAsia" w:ascii="宋体" w:hAnsi="宋体" w:cs="宋体"/>
          <w:sz w:val="28"/>
          <w:szCs w:val="28"/>
        </w:rPr>
      </w:pPr>
      <w:r>
        <w:rPr>
          <w:rFonts w:hint="eastAsia" w:ascii="宋体" w:hAnsi="宋体" w:cs="宋体"/>
          <w:sz w:val="28"/>
          <w:szCs w:val="28"/>
        </w:rPr>
        <w:t>5.1 具有独立法人资格，持有工商、税务、银行、行业管理等有关部门的合法</w:t>
      </w:r>
      <w:r>
        <w:rPr>
          <w:rFonts w:hint="eastAsia" w:ascii="宋体" w:hAnsi="宋体" w:cs="宋体"/>
          <w:color w:val="000000"/>
          <w:sz w:val="28"/>
          <w:szCs w:val="28"/>
        </w:rPr>
        <w:t>证照</w:t>
      </w:r>
      <w:r>
        <w:rPr>
          <w:rFonts w:hint="eastAsia" w:ascii="宋体" w:hAnsi="宋体" w:eastAsia="宋体" w:cs="宋体"/>
          <w:color w:val="000000"/>
          <w:sz w:val="28"/>
          <w:szCs w:val="28"/>
          <w:lang w:val="en-US" w:eastAsia="zh-CN"/>
        </w:rPr>
        <w:t>及资质</w:t>
      </w:r>
      <w:r>
        <w:rPr>
          <w:rFonts w:hint="eastAsia" w:ascii="宋体" w:hAnsi="宋体" w:cs="宋体"/>
          <w:sz w:val="28"/>
          <w:szCs w:val="28"/>
        </w:rPr>
        <w:t>，按国家法律经营，不接受任何联合体及挂靠单位的投标。</w:t>
      </w:r>
    </w:p>
    <w:p w14:paraId="39110643">
      <w:pPr>
        <w:spacing w:line="360" w:lineRule="auto"/>
        <w:ind w:firstLine="560" w:firstLineChars="200"/>
        <w:rPr>
          <w:rFonts w:hint="eastAsia" w:ascii="宋体" w:hAnsi="宋体" w:cs="宋体"/>
          <w:sz w:val="28"/>
          <w:szCs w:val="28"/>
        </w:rPr>
      </w:pPr>
      <w:r>
        <w:rPr>
          <w:rFonts w:hint="eastAsia" w:ascii="宋体" w:hAnsi="宋体" w:cs="宋体"/>
          <w:sz w:val="28"/>
          <w:szCs w:val="28"/>
        </w:rPr>
        <w:t>5.2 提供被授权人在</w:t>
      </w:r>
      <w:r>
        <w:rPr>
          <w:rFonts w:hint="eastAsia" w:ascii="宋体" w:hAnsi="宋体" w:eastAsia="宋体" w:cs="宋体"/>
          <w:color w:val="000000"/>
          <w:sz w:val="28"/>
          <w:szCs w:val="28"/>
          <w:lang w:val="en-US" w:eastAsia="zh-CN"/>
        </w:rPr>
        <w:t>投标人</w:t>
      </w:r>
      <w:r>
        <w:rPr>
          <w:rFonts w:hint="eastAsia" w:ascii="宋体" w:hAnsi="宋体" w:cs="宋体"/>
          <w:sz w:val="28"/>
          <w:szCs w:val="28"/>
        </w:rPr>
        <w:t xml:space="preserve"> </w:t>
      </w:r>
      <w:r>
        <w:rPr>
          <w:rFonts w:hint="eastAsia" w:ascii="宋体" w:hAnsi="宋体" w:cs="宋体"/>
          <w:sz w:val="28"/>
          <w:szCs w:val="28"/>
          <w:lang w:val="en-US" w:eastAsia="zh-CN"/>
        </w:rPr>
        <w:t>2024</w:t>
      </w:r>
      <w:r>
        <w:rPr>
          <w:rFonts w:hint="eastAsia" w:ascii="宋体" w:hAnsi="宋体" w:cs="宋体"/>
          <w:sz w:val="28"/>
          <w:szCs w:val="28"/>
        </w:rPr>
        <w:t xml:space="preserve">年 </w:t>
      </w:r>
      <w:r>
        <w:rPr>
          <w:rFonts w:hint="eastAsia" w:ascii="宋体" w:hAnsi="宋体" w:cs="宋体"/>
          <w:sz w:val="28"/>
          <w:szCs w:val="28"/>
          <w:lang w:val="en-US" w:eastAsia="zh-CN"/>
        </w:rPr>
        <w:t>11</w:t>
      </w:r>
      <w:r>
        <w:rPr>
          <w:rFonts w:hint="eastAsia" w:ascii="宋体" w:hAnsi="宋体" w:cs="宋体"/>
          <w:sz w:val="28"/>
          <w:szCs w:val="28"/>
        </w:rPr>
        <w:t xml:space="preserve"> 月至采购公告发布日，连续 </w:t>
      </w:r>
      <w:r>
        <w:rPr>
          <w:rFonts w:hint="eastAsia" w:ascii="宋体" w:hAnsi="宋体" w:cs="宋体"/>
          <w:sz w:val="28"/>
          <w:szCs w:val="28"/>
          <w:lang w:val="en-US" w:eastAsia="zh-CN"/>
        </w:rPr>
        <w:t>12</w:t>
      </w:r>
      <w:r>
        <w:rPr>
          <w:rFonts w:hint="eastAsia" w:ascii="宋体" w:hAnsi="宋体" w:cs="宋体"/>
          <w:sz w:val="28"/>
          <w:szCs w:val="28"/>
        </w:rPr>
        <w:t>个月（含）以上社保缴纳清单。资料提交要求：提供当地所辖社保局盖章的社保清单原件或社保局官网打印含有效验证码的社保明细清单，并加盖投标人公章。社保清单上单位名称必须同</w:t>
      </w:r>
      <w:r>
        <w:rPr>
          <w:rFonts w:hint="eastAsia" w:ascii="宋体" w:hAnsi="宋体" w:eastAsia="宋体" w:cs="宋体"/>
          <w:color w:val="000000"/>
          <w:sz w:val="28"/>
          <w:szCs w:val="28"/>
          <w:lang w:val="en-US" w:eastAsia="zh-CN"/>
        </w:rPr>
        <w:t>投标人</w:t>
      </w:r>
      <w:r>
        <w:rPr>
          <w:rFonts w:hint="eastAsia" w:ascii="宋体" w:hAnsi="宋体" w:cs="宋体"/>
          <w:sz w:val="28"/>
          <w:szCs w:val="28"/>
        </w:rPr>
        <w:t>名称完全一致。</w:t>
      </w:r>
    </w:p>
    <w:p w14:paraId="04A63A41">
      <w:pPr>
        <w:spacing w:line="360" w:lineRule="auto"/>
        <w:ind w:firstLine="560" w:firstLineChars="200"/>
        <w:rPr>
          <w:rFonts w:hint="eastAsia" w:ascii="宋体" w:hAnsi="宋体" w:cs="宋体"/>
          <w:sz w:val="28"/>
          <w:szCs w:val="28"/>
        </w:rPr>
      </w:pPr>
      <w:r>
        <w:rPr>
          <w:rFonts w:hint="eastAsia" w:ascii="宋体" w:hAnsi="宋体" w:cs="宋体"/>
          <w:sz w:val="28"/>
          <w:szCs w:val="28"/>
        </w:rPr>
        <w:t>5.3投标人不得相互串通投标报价，不得排挤其他投标人的公平竞争，损害招标人或者其他投标人的合法权益。</w:t>
      </w:r>
    </w:p>
    <w:p w14:paraId="69BDE9A5">
      <w:pPr>
        <w:spacing w:line="360" w:lineRule="auto"/>
        <w:ind w:firstLine="560" w:firstLineChars="200"/>
        <w:rPr>
          <w:rFonts w:hint="eastAsia" w:ascii="宋体" w:hAnsi="宋体" w:cs="宋体"/>
          <w:sz w:val="28"/>
          <w:szCs w:val="28"/>
        </w:rPr>
      </w:pPr>
    </w:p>
    <w:p w14:paraId="6ECA58B2">
      <w:pPr>
        <w:pStyle w:val="47"/>
        <w:spacing w:line="360" w:lineRule="auto"/>
        <w:ind w:firstLine="2811" w:firstLineChars="1000"/>
        <w:jc w:val="both"/>
        <w:rPr>
          <w:rFonts w:hint="eastAsia" w:ascii="宋体" w:hAnsi="宋体" w:cs="宋体"/>
          <w:sz w:val="28"/>
          <w:szCs w:val="28"/>
        </w:rPr>
      </w:pPr>
      <w:bookmarkStart w:id="74" w:name="_Toc95925321"/>
      <w:bookmarkStart w:id="75" w:name="_Toc95925490"/>
      <w:bookmarkStart w:id="76" w:name="_Toc11474"/>
      <w:bookmarkStart w:id="77" w:name="_Toc17353"/>
      <w:bookmarkStart w:id="78" w:name="_Toc42392975"/>
      <w:bookmarkStart w:id="79" w:name="_Toc26142"/>
      <w:bookmarkStart w:id="80" w:name="_Toc38943420"/>
      <w:bookmarkStart w:id="81" w:name="_Toc12415"/>
      <w:bookmarkStart w:id="82" w:name="_Toc5372"/>
      <w:r>
        <w:rPr>
          <w:rFonts w:hint="eastAsia" w:ascii="宋体" w:hAnsi="宋体" w:cs="宋体"/>
          <w:sz w:val="28"/>
          <w:szCs w:val="28"/>
        </w:rPr>
        <w:t>第</w:t>
      </w:r>
      <w:r>
        <w:rPr>
          <w:rFonts w:hint="eastAsia" w:ascii="宋体" w:hAnsi="宋体" w:cs="宋体"/>
          <w:sz w:val="28"/>
          <w:szCs w:val="28"/>
          <w:lang w:val="en-US" w:eastAsia="zh-CN"/>
        </w:rPr>
        <w:t>四</w:t>
      </w:r>
      <w:r>
        <w:rPr>
          <w:rFonts w:hint="eastAsia" w:ascii="宋体" w:hAnsi="宋体" w:cs="宋体"/>
          <w:sz w:val="28"/>
          <w:szCs w:val="28"/>
        </w:rPr>
        <w:t>章 投标文件的编制</w:t>
      </w:r>
      <w:bookmarkEnd w:id="74"/>
      <w:bookmarkEnd w:id="75"/>
      <w:bookmarkEnd w:id="76"/>
      <w:bookmarkEnd w:id="77"/>
      <w:bookmarkEnd w:id="78"/>
      <w:bookmarkEnd w:id="79"/>
      <w:bookmarkEnd w:id="80"/>
      <w:bookmarkEnd w:id="81"/>
      <w:bookmarkEnd w:id="82"/>
    </w:p>
    <w:p w14:paraId="6C7EBCAB">
      <w:pPr>
        <w:spacing w:line="360" w:lineRule="auto"/>
        <w:rPr>
          <w:rFonts w:hint="eastAsia" w:ascii="宋体" w:hAnsi="宋体" w:cs="宋体"/>
          <w:sz w:val="28"/>
          <w:szCs w:val="28"/>
        </w:rPr>
      </w:pPr>
    </w:p>
    <w:p w14:paraId="1F65E45F">
      <w:pPr>
        <w:pStyle w:val="2"/>
        <w:numPr>
          <w:ilvl w:val="0"/>
          <w:numId w:val="0"/>
        </w:numPr>
        <w:tabs>
          <w:tab w:val="left" w:pos="567"/>
        </w:tabs>
        <w:spacing w:line="360" w:lineRule="auto"/>
        <w:ind w:left="567"/>
        <w:rPr>
          <w:rFonts w:hint="eastAsia" w:ascii="宋体" w:hAnsi="宋体" w:cs="宋体"/>
          <w:sz w:val="28"/>
          <w:szCs w:val="28"/>
        </w:rPr>
      </w:pPr>
      <w:bookmarkStart w:id="83" w:name="_Toc12346"/>
      <w:bookmarkStart w:id="84" w:name="_Toc14855"/>
      <w:bookmarkStart w:id="85" w:name="_Toc25478"/>
      <w:bookmarkStart w:id="86" w:name="_Toc95925322"/>
      <w:bookmarkStart w:id="87" w:name="_Toc13450"/>
      <w:bookmarkStart w:id="88" w:name="_Toc95925491"/>
      <w:bookmarkStart w:id="89" w:name="_Toc26387"/>
      <w:r>
        <w:rPr>
          <w:rFonts w:hint="eastAsia" w:ascii="宋体" w:hAnsi="宋体" w:cs="宋体"/>
          <w:sz w:val="28"/>
          <w:szCs w:val="28"/>
        </w:rPr>
        <w:t>1、投标文件的组成</w:t>
      </w:r>
      <w:bookmarkEnd w:id="83"/>
      <w:bookmarkEnd w:id="84"/>
      <w:bookmarkEnd w:id="85"/>
      <w:bookmarkEnd w:id="86"/>
      <w:bookmarkEnd w:id="87"/>
      <w:bookmarkEnd w:id="88"/>
      <w:bookmarkEnd w:id="89"/>
    </w:p>
    <w:p w14:paraId="1E6E427A">
      <w:pPr>
        <w:spacing w:line="360" w:lineRule="auto"/>
        <w:ind w:firstLine="560" w:firstLineChars="200"/>
        <w:rPr>
          <w:rFonts w:hint="eastAsia" w:ascii="宋体" w:hAnsi="宋体" w:cs="宋体"/>
          <w:sz w:val="28"/>
          <w:szCs w:val="28"/>
        </w:rPr>
      </w:pPr>
      <w:bookmarkStart w:id="90" w:name="_Toc29349"/>
      <w:r>
        <w:rPr>
          <w:rFonts w:hint="eastAsia" w:ascii="宋体" w:hAnsi="宋体" w:cs="宋体"/>
          <w:sz w:val="28"/>
          <w:szCs w:val="28"/>
        </w:rPr>
        <w:t>1.1 投标文件：商务标及技术标。</w:t>
      </w:r>
      <w:bookmarkEnd w:id="90"/>
    </w:p>
    <w:p w14:paraId="4A5F783A">
      <w:pPr>
        <w:pStyle w:val="2"/>
        <w:numPr>
          <w:ilvl w:val="0"/>
          <w:numId w:val="0"/>
        </w:numPr>
        <w:tabs>
          <w:tab w:val="left" w:pos="567"/>
        </w:tabs>
        <w:spacing w:line="360" w:lineRule="auto"/>
        <w:ind w:left="567"/>
        <w:rPr>
          <w:rFonts w:hint="eastAsia" w:ascii="宋体" w:hAnsi="宋体" w:cs="宋体"/>
          <w:sz w:val="28"/>
          <w:szCs w:val="28"/>
        </w:rPr>
      </w:pPr>
      <w:bookmarkStart w:id="91" w:name="_Toc21063"/>
      <w:bookmarkStart w:id="92" w:name="_Toc3680"/>
      <w:bookmarkStart w:id="93" w:name="_Toc25474"/>
      <w:bookmarkStart w:id="94" w:name="_Toc5608"/>
      <w:bookmarkStart w:id="95" w:name="_Toc95925323"/>
      <w:bookmarkStart w:id="96" w:name="_Toc25822"/>
      <w:bookmarkStart w:id="97" w:name="_Toc95925492"/>
      <w:r>
        <w:rPr>
          <w:rFonts w:hint="eastAsia" w:ascii="宋体" w:hAnsi="宋体" w:cs="宋体"/>
          <w:sz w:val="28"/>
          <w:szCs w:val="28"/>
        </w:rPr>
        <w:t>2、投标报价</w:t>
      </w:r>
      <w:bookmarkEnd w:id="91"/>
      <w:bookmarkEnd w:id="92"/>
      <w:bookmarkEnd w:id="93"/>
      <w:bookmarkEnd w:id="94"/>
      <w:bookmarkEnd w:id="95"/>
      <w:bookmarkEnd w:id="96"/>
      <w:bookmarkEnd w:id="97"/>
    </w:p>
    <w:p w14:paraId="07FFF4B7">
      <w:pPr>
        <w:spacing w:line="360" w:lineRule="auto"/>
        <w:ind w:firstLine="560" w:firstLineChars="200"/>
        <w:rPr>
          <w:rFonts w:hint="eastAsia" w:ascii="宋体" w:hAnsi="宋体" w:cs="宋体"/>
          <w:sz w:val="28"/>
          <w:szCs w:val="28"/>
        </w:rPr>
      </w:pPr>
      <w:r>
        <w:rPr>
          <w:rFonts w:hint="eastAsia" w:ascii="宋体" w:hAnsi="宋体" w:cs="宋体"/>
          <w:sz w:val="28"/>
          <w:szCs w:val="28"/>
        </w:rPr>
        <w:t>2.1 投标人，按今年政府公告的政策模式方案进行投标报价，报价要求给出最优质方案条件进行投标。</w:t>
      </w:r>
    </w:p>
    <w:p w14:paraId="17C1E5F4">
      <w:pPr>
        <w:spacing w:line="360" w:lineRule="auto"/>
        <w:ind w:firstLine="560" w:firstLineChars="200"/>
        <w:rPr>
          <w:rFonts w:hint="eastAsia" w:ascii="宋体" w:hAnsi="宋体" w:cs="宋体"/>
          <w:sz w:val="28"/>
          <w:szCs w:val="28"/>
        </w:rPr>
      </w:pPr>
      <w:r>
        <w:rPr>
          <w:rFonts w:hint="eastAsia" w:ascii="宋体" w:hAnsi="宋体" w:cs="宋体"/>
          <w:sz w:val="28"/>
          <w:szCs w:val="28"/>
        </w:rPr>
        <w:t>2.2 投标人应先与招标方充分了解情况，对招标方区域位置及任何其它足以影响投标报价的情况做好沟通后再行报价。</w:t>
      </w:r>
    </w:p>
    <w:p w14:paraId="033466FD">
      <w:pPr>
        <w:spacing w:line="360" w:lineRule="auto"/>
        <w:ind w:firstLine="560" w:firstLineChars="200"/>
        <w:rPr>
          <w:rFonts w:hint="eastAsia" w:ascii="宋体" w:hAnsi="宋体" w:cs="宋体"/>
          <w:sz w:val="28"/>
          <w:szCs w:val="28"/>
        </w:rPr>
      </w:pPr>
      <w:r>
        <w:rPr>
          <w:rFonts w:hint="eastAsia" w:ascii="宋体" w:hAnsi="宋体" w:cs="宋体"/>
          <w:sz w:val="28"/>
          <w:szCs w:val="28"/>
        </w:rPr>
        <w:t>2.3严禁各投标人相互串通投标、哄抬标价。</w:t>
      </w:r>
    </w:p>
    <w:p w14:paraId="1D3884DE">
      <w:pPr>
        <w:spacing w:line="360" w:lineRule="auto"/>
        <w:ind w:firstLine="560" w:firstLineChars="200"/>
        <w:rPr>
          <w:rFonts w:hint="eastAsia" w:ascii="宋体" w:hAnsi="宋体" w:cs="宋体"/>
          <w:sz w:val="28"/>
          <w:szCs w:val="28"/>
        </w:rPr>
      </w:pPr>
      <w:r>
        <w:rPr>
          <w:rFonts w:hint="eastAsia" w:ascii="宋体" w:hAnsi="宋体" w:cs="宋体"/>
          <w:sz w:val="28"/>
          <w:szCs w:val="28"/>
        </w:rPr>
        <w:t>2.4招标人拒绝投标人恶意竞争、拒绝低于整体市场合理价中标，而无履约能力情况。</w:t>
      </w:r>
    </w:p>
    <w:p w14:paraId="61D5A05D">
      <w:pPr>
        <w:spacing w:line="360" w:lineRule="auto"/>
        <w:ind w:firstLine="495" w:firstLineChars="177"/>
        <w:rPr>
          <w:rFonts w:hint="eastAsia" w:ascii="宋体" w:hAnsi="宋体" w:cs="宋体"/>
          <w:sz w:val="28"/>
          <w:szCs w:val="28"/>
        </w:rPr>
      </w:pPr>
    </w:p>
    <w:p w14:paraId="2E89D6A5">
      <w:pPr>
        <w:pStyle w:val="2"/>
        <w:numPr>
          <w:ilvl w:val="0"/>
          <w:numId w:val="0"/>
        </w:numPr>
        <w:spacing w:before="120" w:after="120" w:line="360" w:lineRule="auto"/>
        <w:ind w:firstLine="413" w:firstLineChars="147"/>
        <w:jc w:val="both"/>
        <w:rPr>
          <w:rFonts w:hint="eastAsia" w:ascii="宋体" w:hAnsi="宋体" w:cs="宋体"/>
          <w:sz w:val="28"/>
          <w:szCs w:val="28"/>
        </w:rPr>
      </w:pPr>
      <w:bookmarkStart w:id="98" w:name="_Toc8489"/>
      <w:bookmarkStart w:id="99" w:name="_Toc95925324"/>
      <w:bookmarkStart w:id="100" w:name="_Toc30904"/>
      <w:bookmarkStart w:id="101" w:name="_Toc69657316"/>
      <w:bookmarkStart w:id="102" w:name="_Toc17841"/>
      <w:bookmarkStart w:id="103" w:name="_Toc95925493"/>
      <w:bookmarkStart w:id="104" w:name="_Toc23062"/>
      <w:bookmarkStart w:id="105" w:name="_Toc4439"/>
      <w:r>
        <w:rPr>
          <w:rFonts w:hint="eastAsia" w:ascii="宋体" w:hAnsi="宋体" w:cs="宋体"/>
          <w:sz w:val="28"/>
          <w:szCs w:val="28"/>
        </w:rPr>
        <w:t>3 、投标文件的格式、装订要求及密封</w:t>
      </w:r>
      <w:bookmarkEnd w:id="98"/>
      <w:bookmarkEnd w:id="99"/>
      <w:bookmarkEnd w:id="100"/>
      <w:bookmarkEnd w:id="101"/>
      <w:bookmarkEnd w:id="102"/>
      <w:bookmarkEnd w:id="103"/>
      <w:bookmarkEnd w:id="104"/>
      <w:bookmarkEnd w:id="105"/>
    </w:p>
    <w:p w14:paraId="68DB7764">
      <w:pPr>
        <w:spacing w:line="360" w:lineRule="auto"/>
        <w:ind w:firstLine="560" w:firstLineChars="200"/>
        <w:rPr>
          <w:rFonts w:hint="eastAsia" w:ascii="宋体" w:hAnsi="宋体" w:cs="宋体"/>
          <w:sz w:val="28"/>
          <w:szCs w:val="28"/>
        </w:rPr>
      </w:pPr>
      <w:r>
        <w:rPr>
          <w:rFonts w:hint="eastAsia" w:ascii="宋体" w:hAnsi="宋体" w:cs="宋体"/>
          <w:sz w:val="28"/>
          <w:szCs w:val="28"/>
        </w:rPr>
        <w:t>3.1 全文采用打印机打印；</w:t>
      </w:r>
    </w:p>
    <w:p w14:paraId="7EAF45FC">
      <w:pPr>
        <w:spacing w:line="360" w:lineRule="auto"/>
        <w:ind w:firstLine="560" w:firstLineChars="200"/>
        <w:rPr>
          <w:rFonts w:hint="eastAsia" w:ascii="宋体" w:hAnsi="宋体" w:cs="宋体"/>
          <w:sz w:val="28"/>
          <w:szCs w:val="28"/>
        </w:rPr>
      </w:pPr>
      <w:r>
        <w:rPr>
          <w:rFonts w:hint="eastAsia" w:ascii="宋体" w:hAnsi="宋体" w:cs="宋体"/>
          <w:sz w:val="28"/>
          <w:szCs w:val="28"/>
        </w:rPr>
        <w:t>3.2 纸张：A4白色复印纸；</w:t>
      </w:r>
    </w:p>
    <w:p w14:paraId="04D19C4B">
      <w:pPr>
        <w:spacing w:line="360" w:lineRule="auto"/>
        <w:ind w:firstLine="560" w:firstLineChars="200"/>
        <w:rPr>
          <w:rFonts w:hint="eastAsia" w:ascii="宋体" w:hAnsi="宋体" w:cs="宋体"/>
          <w:sz w:val="28"/>
          <w:szCs w:val="28"/>
        </w:rPr>
      </w:pPr>
      <w:bookmarkStart w:id="106" w:name="_Toc1535"/>
      <w:r>
        <w:rPr>
          <w:rFonts w:hint="eastAsia" w:ascii="宋体" w:hAnsi="宋体" w:cs="宋体"/>
          <w:sz w:val="28"/>
          <w:szCs w:val="28"/>
        </w:rPr>
        <w:t>3.3投标文件的数量及密封要求</w:t>
      </w:r>
      <w:bookmarkEnd w:id="106"/>
    </w:p>
    <w:p w14:paraId="3BEA394E">
      <w:pPr>
        <w:spacing w:line="360" w:lineRule="auto"/>
        <w:ind w:firstLine="560" w:firstLineChars="200"/>
        <w:rPr>
          <w:rFonts w:hint="eastAsia" w:ascii="宋体" w:hAnsi="宋体" w:cs="宋体"/>
          <w:sz w:val="28"/>
          <w:szCs w:val="28"/>
        </w:rPr>
      </w:pPr>
      <w:r>
        <w:rPr>
          <w:rFonts w:hint="eastAsia" w:ascii="宋体" w:hAnsi="宋体" w:cs="宋体"/>
          <w:sz w:val="28"/>
          <w:szCs w:val="28"/>
        </w:rPr>
        <w:t>3.4 商务标正本、密封在一个档案袋，档案袋不够大，可自制；</w:t>
      </w:r>
    </w:p>
    <w:p w14:paraId="2DACD9E6">
      <w:pPr>
        <w:spacing w:line="360" w:lineRule="auto"/>
        <w:ind w:firstLine="560" w:firstLineChars="200"/>
        <w:rPr>
          <w:rFonts w:hint="eastAsia" w:ascii="宋体" w:hAnsi="宋体" w:cs="宋体"/>
          <w:sz w:val="28"/>
          <w:szCs w:val="28"/>
        </w:rPr>
      </w:pPr>
      <w:r>
        <w:rPr>
          <w:rFonts w:hint="eastAsia" w:ascii="宋体" w:hAnsi="宋体" w:cs="宋体"/>
          <w:sz w:val="28"/>
          <w:szCs w:val="28"/>
        </w:rPr>
        <w:t>3.5所有密封袋的封口处均须贴封条并骑缝加盖投标人公章；</w:t>
      </w:r>
    </w:p>
    <w:p w14:paraId="33C396E7">
      <w:pPr>
        <w:pStyle w:val="47"/>
        <w:spacing w:line="360" w:lineRule="auto"/>
        <w:ind w:left="480" w:hanging="480"/>
        <w:rPr>
          <w:rFonts w:hint="eastAsia" w:ascii="宋体" w:hAnsi="宋体" w:cs="宋体"/>
          <w:sz w:val="28"/>
          <w:szCs w:val="28"/>
        </w:rPr>
      </w:pPr>
      <w:bookmarkStart w:id="107" w:name="_Toc9922"/>
      <w:bookmarkStart w:id="108" w:name="_Toc22849"/>
      <w:bookmarkStart w:id="109" w:name="_Toc21144"/>
      <w:bookmarkStart w:id="110" w:name="_Toc26336"/>
      <w:bookmarkStart w:id="111" w:name="_Toc95925494"/>
      <w:bookmarkStart w:id="112" w:name="_Toc28708"/>
      <w:bookmarkStart w:id="113" w:name="_Toc95925325"/>
      <w:r>
        <w:rPr>
          <w:rFonts w:hint="eastAsia" w:ascii="宋体" w:hAnsi="宋体" w:cs="宋体"/>
          <w:sz w:val="28"/>
          <w:szCs w:val="28"/>
        </w:rPr>
        <w:t>第</w:t>
      </w:r>
      <w:r>
        <w:rPr>
          <w:rFonts w:hint="eastAsia" w:ascii="宋体" w:hAnsi="宋体" w:cs="宋体"/>
          <w:sz w:val="28"/>
          <w:szCs w:val="28"/>
          <w:lang w:val="en-US" w:eastAsia="zh-CN"/>
        </w:rPr>
        <w:t>五</w:t>
      </w:r>
      <w:r>
        <w:rPr>
          <w:rFonts w:hint="eastAsia" w:ascii="宋体" w:hAnsi="宋体" w:cs="宋体"/>
          <w:sz w:val="28"/>
          <w:szCs w:val="28"/>
        </w:rPr>
        <w:t>章  投标、开标及评标</w:t>
      </w:r>
      <w:bookmarkEnd w:id="107"/>
      <w:bookmarkEnd w:id="108"/>
      <w:bookmarkEnd w:id="109"/>
      <w:bookmarkEnd w:id="110"/>
      <w:bookmarkEnd w:id="111"/>
      <w:bookmarkEnd w:id="112"/>
      <w:bookmarkEnd w:id="113"/>
    </w:p>
    <w:p w14:paraId="2D54D4A1">
      <w:pPr>
        <w:tabs>
          <w:tab w:val="left" w:pos="525"/>
        </w:tabs>
        <w:spacing w:before="100" w:beforeAutospacing="1" w:after="100" w:afterAutospacing="1" w:line="360" w:lineRule="auto"/>
        <w:ind w:firstLine="562" w:firstLineChars="200"/>
        <w:jc w:val="left"/>
        <w:outlineLvl w:val="1"/>
        <w:rPr>
          <w:rFonts w:hint="eastAsia" w:ascii="宋体" w:hAnsi="宋体" w:cs="宋体"/>
          <w:b/>
          <w:bCs/>
          <w:sz w:val="28"/>
          <w:szCs w:val="28"/>
        </w:rPr>
      </w:pPr>
      <w:r>
        <w:rPr>
          <w:rFonts w:hint="eastAsia" w:ascii="宋体" w:hAnsi="宋体" w:cs="宋体"/>
          <w:b/>
          <w:bCs/>
          <w:sz w:val="28"/>
          <w:szCs w:val="28"/>
        </w:rPr>
        <w:t>1投标</w:t>
      </w:r>
    </w:p>
    <w:p w14:paraId="34DF7BE6">
      <w:pPr>
        <w:spacing w:line="360" w:lineRule="auto"/>
        <w:ind w:firstLine="560" w:firstLineChars="200"/>
        <w:rPr>
          <w:rFonts w:hint="eastAsia" w:ascii="宋体" w:hAnsi="宋体" w:cs="宋体"/>
          <w:sz w:val="28"/>
          <w:szCs w:val="28"/>
        </w:rPr>
      </w:pPr>
      <w:r>
        <w:rPr>
          <w:rFonts w:hint="eastAsia" w:ascii="宋体" w:hAnsi="宋体" w:cs="宋体"/>
          <w:sz w:val="28"/>
          <w:szCs w:val="28"/>
        </w:rPr>
        <w:t>1.1投标人在编制投标文件过程中，对招标人提供的招标文件有任何疑问，请于</w:t>
      </w:r>
      <w:r>
        <w:rPr>
          <w:rFonts w:hint="eastAsia" w:ascii="宋体" w:hAnsi="宋体" w:cs="宋体"/>
          <w:sz w:val="28"/>
          <w:szCs w:val="28"/>
          <w:u w:val="single"/>
        </w:rPr>
        <w:t>20</w:t>
      </w:r>
      <w:r>
        <w:rPr>
          <w:rFonts w:hint="eastAsia" w:ascii="宋体" w:hAnsi="宋体" w:cs="宋体"/>
          <w:sz w:val="28"/>
          <w:szCs w:val="28"/>
          <w:u w:val="single"/>
          <w:lang w:val="en-US" w:eastAsia="zh-CN"/>
        </w:rPr>
        <w:t>25</w:t>
      </w:r>
      <w:r>
        <w:rPr>
          <w:rFonts w:hint="eastAsia" w:ascii="宋体" w:hAnsi="宋体" w:cs="宋体"/>
          <w:sz w:val="28"/>
          <w:szCs w:val="28"/>
          <w:u w:val="single"/>
        </w:rPr>
        <w:t>年</w:t>
      </w:r>
      <w:r>
        <w:rPr>
          <w:rFonts w:hint="eastAsia" w:ascii="宋体" w:hAnsi="宋体" w:cs="宋体"/>
          <w:sz w:val="28"/>
          <w:szCs w:val="28"/>
          <w:u w:val="single"/>
          <w:lang w:val="en-US" w:eastAsia="zh-CN"/>
        </w:rPr>
        <w:t>11</w:t>
      </w:r>
      <w:r>
        <w:rPr>
          <w:rFonts w:hint="eastAsia" w:ascii="宋体" w:hAnsi="宋体" w:cs="宋体"/>
          <w:sz w:val="28"/>
          <w:szCs w:val="28"/>
          <w:u w:val="single"/>
        </w:rPr>
        <w:t>月</w:t>
      </w:r>
      <w:r>
        <w:rPr>
          <w:rFonts w:hint="eastAsia" w:ascii="宋体" w:hAnsi="宋体" w:cs="宋体"/>
          <w:sz w:val="28"/>
          <w:szCs w:val="28"/>
          <w:u w:val="single"/>
          <w:lang w:val="en-US" w:eastAsia="zh-CN"/>
        </w:rPr>
        <w:t>10</w:t>
      </w:r>
      <w:r>
        <w:rPr>
          <w:rFonts w:hint="eastAsia" w:ascii="宋体" w:hAnsi="宋体" w:cs="宋体"/>
          <w:sz w:val="28"/>
          <w:szCs w:val="28"/>
          <w:u w:val="single"/>
        </w:rPr>
        <w:t>日14点前</w:t>
      </w:r>
      <w:r>
        <w:rPr>
          <w:rFonts w:hint="eastAsia" w:ascii="宋体" w:hAnsi="宋体" w:cs="宋体"/>
          <w:sz w:val="28"/>
          <w:szCs w:val="28"/>
        </w:rPr>
        <w:t xml:space="preserve"> ，以文字形式发送至</w:t>
      </w:r>
      <w:r>
        <w:rPr>
          <w:rFonts w:hint="eastAsia" w:ascii="宋体" w:hAnsi="宋体" w:cs="宋体"/>
          <w:color w:val="000000"/>
          <w:sz w:val="28"/>
          <w:szCs w:val="28"/>
          <w:shd w:val="clear" w:color="auto" w:fill="FFFFFF"/>
        </w:rPr>
        <w:t xml:space="preserve">    </w:t>
      </w:r>
      <w:r>
        <w:rPr>
          <w:rFonts w:hint="eastAsia" w:ascii="宋体" w:hAnsi="宋体" w:cs="宋体"/>
          <w:sz w:val="28"/>
          <w:szCs w:val="28"/>
        </w:rPr>
        <w:t>邮箱maoming@ganten.com.cn，招标人将于</w:t>
      </w:r>
      <w:r>
        <w:rPr>
          <w:rFonts w:hint="eastAsia" w:ascii="宋体" w:hAnsi="宋体" w:cs="宋体"/>
          <w:sz w:val="28"/>
          <w:szCs w:val="28"/>
          <w:u w:val="single"/>
        </w:rPr>
        <w:t>20</w:t>
      </w:r>
      <w:r>
        <w:rPr>
          <w:rFonts w:hint="eastAsia" w:ascii="宋体" w:hAnsi="宋体" w:cs="宋体"/>
          <w:sz w:val="28"/>
          <w:szCs w:val="28"/>
          <w:u w:val="single"/>
          <w:lang w:val="en-US" w:eastAsia="zh-CN"/>
        </w:rPr>
        <w:t>25</w:t>
      </w:r>
      <w:r>
        <w:rPr>
          <w:rFonts w:hint="eastAsia" w:ascii="宋体" w:hAnsi="宋体" w:cs="宋体"/>
          <w:sz w:val="28"/>
          <w:szCs w:val="28"/>
          <w:u w:val="single"/>
        </w:rPr>
        <w:t>年</w:t>
      </w:r>
      <w:r>
        <w:rPr>
          <w:rFonts w:hint="eastAsia" w:ascii="宋体" w:hAnsi="宋体" w:cs="宋体"/>
          <w:sz w:val="28"/>
          <w:szCs w:val="28"/>
          <w:u w:val="single"/>
          <w:lang w:val="en-US" w:eastAsia="zh-CN"/>
        </w:rPr>
        <w:t>11</w:t>
      </w:r>
      <w:r>
        <w:rPr>
          <w:rFonts w:hint="eastAsia" w:ascii="宋体" w:hAnsi="宋体" w:cs="宋体"/>
          <w:sz w:val="28"/>
          <w:szCs w:val="28"/>
          <w:u w:val="single"/>
        </w:rPr>
        <w:t>月</w:t>
      </w:r>
      <w:r>
        <w:rPr>
          <w:rFonts w:hint="eastAsia" w:ascii="宋体" w:hAnsi="宋体" w:cs="宋体"/>
          <w:sz w:val="28"/>
          <w:szCs w:val="28"/>
          <w:u w:val="single"/>
          <w:lang w:val="en-US" w:eastAsia="zh-CN"/>
        </w:rPr>
        <w:t>10</w:t>
      </w:r>
      <w:r>
        <w:rPr>
          <w:rFonts w:hint="eastAsia" w:ascii="宋体" w:hAnsi="宋体" w:cs="宋体"/>
          <w:sz w:val="28"/>
          <w:szCs w:val="28"/>
          <w:u w:val="single"/>
        </w:rPr>
        <w:t>日18时前</w:t>
      </w:r>
      <w:r>
        <w:rPr>
          <w:rFonts w:hint="eastAsia" w:ascii="宋体" w:hAnsi="宋体" w:cs="宋体"/>
          <w:sz w:val="28"/>
          <w:szCs w:val="28"/>
        </w:rPr>
        <w:t>以电子邮件、书面形式对投标人提出的疑问作出解答。</w:t>
      </w:r>
    </w:p>
    <w:p w14:paraId="15802048">
      <w:pPr>
        <w:spacing w:line="360" w:lineRule="auto"/>
        <w:ind w:firstLine="560" w:firstLineChars="200"/>
        <w:rPr>
          <w:rFonts w:hint="eastAsia" w:ascii="宋体" w:hAnsi="宋体" w:cs="宋体"/>
          <w:sz w:val="28"/>
          <w:szCs w:val="28"/>
        </w:rPr>
      </w:pPr>
      <w:r>
        <w:rPr>
          <w:rFonts w:hint="eastAsia" w:ascii="宋体" w:hAnsi="宋体" w:cs="宋体"/>
          <w:sz w:val="28"/>
          <w:szCs w:val="28"/>
        </w:rPr>
        <w:t>1.2投标人应承担其编制投标文件与递交投标文件所涉及的一切费用。不论投标结果如何，建设方在任何情况下无义务也无责任承担这些费用。</w:t>
      </w:r>
    </w:p>
    <w:p w14:paraId="79E104B4">
      <w:pPr>
        <w:tabs>
          <w:tab w:val="left" w:pos="525"/>
        </w:tabs>
        <w:spacing w:before="100" w:beforeAutospacing="1" w:after="100" w:afterAutospacing="1" w:line="360" w:lineRule="auto"/>
        <w:ind w:firstLine="562" w:firstLineChars="200"/>
        <w:jc w:val="left"/>
        <w:outlineLvl w:val="1"/>
        <w:rPr>
          <w:rFonts w:hint="eastAsia" w:ascii="宋体" w:hAnsi="宋体" w:cs="宋体"/>
          <w:b/>
          <w:bCs/>
          <w:sz w:val="28"/>
          <w:szCs w:val="28"/>
        </w:rPr>
      </w:pPr>
      <w:r>
        <w:rPr>
          <w:rFonts w:hint="eastAsia" w:ascii="宋体" w:hAnsi="宋体" w:cs="宋体"/>
          <w:b/>
          <w:bCs/>
          <w:sz w:val="28"/>
          <w:szCs w:val="28"/>
        </w:rPr>
        <w:t>2开标</w:t>
      </w:r>
    </w:p>
    <w:p w14:paraId="6A08F2A3">
      <w:pPr>
        <w:spacing w:line="360" w:lineRule="auto"/>
        <w:ind w:left="-7" w:leftChars="-3" w:firstLine="560" w:firstLineChars="200"/>
        <w:rPr>
          <w:rFonts w:hint="eastAsia" w:ascii="宋体" w:hAnsi="宋体" w:cs="宋体"/>
          <w:sz w:val="28"/>
          <w:szCs w:val="28"/>
        </w:rPr>
      </w:pPr>
      <w:r>
        <w:rPr>
          <w:rFonts w:hint="eastAsia" w:ascii="宋体" w:hAnsi="宋体" w:cs="宋体"/>
          <w:sz w:val="28"/>
          <w:szCs w:val="28"/>
        </w:rPr>
        <w:t>招标人将在投标截止期后的某一时间对所有投标文件统一拆封开标，根据成本审核结算，可自行决定是否邀请投标人参加开标会。具体时间由招标人确定后另行通知。</w:t>
      </w:r>
    </w:p>
    <w:p w14:paraId="5FD12CE1">
      <w:pPr>
        <w:spacing w:line="360" w:lineRule="auto"/>
        <w:ind w:left="-7" w:leftChars="-3" w:firstLine="560" w:firstLineChars="200"/>
        <w:rPr>
          <w:rFonts w:hint="eastAsia" w:ascii="宋体" w:hAnsi="宋体" w:cs="宋体"/>
          <w:sz w:val="28"/>
          <w:szCs w:val="28"/>
        </w:rPr>
      </w:pPr>
    </w:p>
    <w:p w14:paraId="00EC8461">
      <w:pPr>
        <w:tabs>
          <w:tab w:val="left" w:pos="525"/>
        </w:tabs>
        <w:spacing w:before="100" w:beforeAutospacing="1" w:after="100" w:afterAutospacing="1" w:line="360" w:lineRule="auto"/>
        <w:ind w:firstLine="562" w:firstLineChars="200"/>
        <w:jc w:val="left"/>
        <w:outlineLvl w:val="1"/>
        <w:rPr>
          <w:rFonts w:hint="eastAsia" w:ascii="宋体" w:hAnsi="宋体" w:cs="宋体"/>
          <w:b/>
          <w:bCs/>
          <w:sz w:val="28"/>
          <w:szCs w:val="28"/>
        </w:rPr>
      </w:pPr>
      <w:r>
        <w:rPr>
          <w:rFonts w:hint="eastAsia" w:ascii="宋体" w:hAnsi="宋体" w:cs="宋体"/>
          <w:b/>
          <w:bCs/>
          <w:sz w:val="28"/>
          <w:szCs w:val="28"/>
        </w:rPr>
        <w:t>3评标</w:t>
      </w:r>
    </w:p>
    <w:p w14:paraId="09AA8E85">
      <w:pPr>
        <w:tabs>
          <w:tab w:val="left" w:pos="525"/>
        </w:tabs>
        <w:spacing w:before="100" w:beforeAutospacing="1" w:after="100" w:afterAutospacing="1" w:line="360" w:lineRule="auto"/>
        <w:ind w:firstLine="560" w:firstLineChars="200"/>
        <w:jc w:val="left"/>
        <w:outlineLvl w:val="1"/>
        <w:rPr>
          <w:rFonts w:hint="eastAsia" w:ascii="宋体" w:hAnsi="宋体" w:cs="宋体"/>
          <w:sz w:val="28"/>
          <w:szCs w:val="28"/>
        </w:rPr>
      </w:pPr>
      <w:r>
        <w:rPr>
          <w:rFonts w:hint="eastAsia" w:ascii="宋体" w:hAnsi="宋体" w:cs="宋体"/>
          <w:sz w:val="28"/>
          <w:szCs w:val="28"/>
        </w:rPr>
        <w:t>3.1为了有助于投标文件的审查、评价和比较，招标人会要求个别投标人澄清其投标文件，有关澄清的要求和答复，均将形成书面材料和纪要。</w:t>
      </w:r>
    </w:p>
    <w:p w14:paraId="3D26A319">
      <w:pPr>
        <w:tabs>
          <w:tab w:val="left" w:pos="525"/>
        </w:tabs>
        <w:spacing w:before="100" w:beforeAutospacing="1" w:after="100" w:afterAutospacing="1" w:line="360" w:lineRule="auto"/>
        <w:ind w:firstLine="560" w:firstLineChars="200"/>
        <w:jc w:val="left"/>
        <w:outlineLvl w:val="1"/>
        <w:rPr>
          <w:rFonts w:hint="eastAsia" w:ascii="宋体" w:hAnsi="宋体" w:cs="宋体"/>
          <w:bCs/>
          <w:sz w:val="28"/>
          <w:szCs w:val="28"/>
        </w:rPr>
      </w:pPr>
      <w:r>
        <w:rPr>
          <w:rFonts w:hint="eastAsia" w:ascii="宋体" w:hAnsi="宋体" w:cs="宋体"/>
          <w:bCs/>
          <w:sz w:val="28"/>
          <w:szCs w:val="28"/>
        </w:rPr>
        <w:t>3.2无效标书</w:t>
      </w:r>
    </w:p>
    <w:p w14:paraId="047EEA91">
      <w:pPr>
        <w:pStyle w:val="24"/>
        <w:tabs>
          <w:tab w:val="left" w:pos="540"/>
        </w:tabs>
        <w:spacing w:line="360" w:lineRule="auto"/>
        <w:ind w:left="617"/>
        <w:rPr>
          <w:rFonts w:hint="eastAsia" w:hAnsi="宋体" w:cs="宋体"/>
          <w:color w:val="000000"/>
          <w:sz w:val="28"/>
          <w:szCs w:val="28"/>
        </w:rPr>
      </w:pPr>
      <w:r>
        <w:rPr>
          <w:rFonts w:hint="eastAsia" w:hAnsi="宋体" w:cs="宋体"/>
          <w:color w:val="000000"/>
          <w:sz w:val="28"/>
          <w:szCs w:val="28"/>
        </w:rPr>
        <w:t>1、投标书逾期递交；</w:t>
      </w:r>
    </w:p>
    <w:p w14:paraId="5C85893E">
      <w:pPr>
        <w:pStyle w:val="24"/>
        <w:tabs>
          <w:tab w:val="left" w:pos="540"/>
        </w:tabs>
        <w:spacing w:line="360" w:lineRule="auto"/>
        <w:ind w:left="617"/>
        <w:rPr>
          <w:rFonts w:hint="eastAsia" w:hAnsi="宋体" w:cs="宋体"/>
          <w:color w:val="000000"/>
          <w:sz w:val="28"/>
          <w:szCs w:val="28"/>
        </w:rPr>
      </w:pPr>
      <w:r>
        <w:rPr>
          <w:rFonts w:hint="eastAsia" w:hAnsi="宋体" w:cs="宋体"/>
          <w:color w:val="000000"/>
          <w:sz w:val="28"/>
          <w:szCs w:val="28"/>
        </w:rPr>
        <w:t>2、实质上不响应招投标的投标文件；</w:t>
      </w:r>
    </w:p>
    <w:p w14:paraId="4968DBA1">
      <w:pPr>
        <w:pStyle w:val="24"/>
        <w:tabs>
          <w:tab w:val="left" w:pos="540"/>
        </w:tabs>
        <w:spacing w:line="360" w:lineRule="auto"/>
        <w:ind w:left="617"/>
        <w:rPr>
          <w:rFonts w:hint="eastAsia" w:hAnsi="宋体" w:cs="宋体"/>
          <w:color w:val="000000"/>
          <w:sz w:val="28"/>
          <w:szCs w:val="28"/>
        </w:rPr>
      </w:pPr>
      <w:r>
        <w:rPr>
          <w:rFonts w:hint="eastAsia" w:hAnsi="宋体" w:cs="宋体"/>
          <w:color w:val="000000"/>
          <w:sz w:val="28"/>
          <w:szCs w:val="28"/>
        </w:rPr>
        <w:t>3、不具备投标资格。</w:t>
      </w:r>
    </w:p>
    <w:p w14:paraId="4799DC23">
      <w:pPr>
        <w:spacing w:line="360" w:lineRule="auto"/>
        <w:ind w:firstLine="560" w:firstLineChars="200"/>
        <w:rPr>
          <w:rFonts w:hint="eastAsia" w:ascii="宋体" w:hAnsi="宋体" w:cs="宋体"/>
          <w:sz w:val="28"/>
          <w:szCs w:val="28"/>
        </w:rPr>
      </w:pPr>
      <w:r>
        <w:rPr>
          <w:rFonts w:hint="eastAsia" w:ascii="宋体" w:hAnsi="宋体" w:cs="宋体"/>
          <w:sz w:val="28"/>
          <w:szCs w:val="28"/>
        </w:rPr>
        <w:t>3.3招标人如认为有必要，可召开评标会议，评标会议采用保密方式进行。评标由招标人负责。</w:t>
      </w:r>
    </w:p>
    <w:p w14:paraId="45EE8375">
      <w:pPr>
        <w:spacing w:line="360" w:lineRule="auto"/>
        <w:ind w:firstLine="560" w:firstLineChars="200"/>
        <w:rPr>
          <w:rFonts w:hint="eastAsia" w:ascii="宋体" w:hAnsi="宋体" w:cs="宋体"/>
          <w:sz w:val="28"/>
          <w:szCs w:val="28"/>
        </w:rPr>
      </w:pPr>
      <w:r>
        <w:rPr>
          <w:rFonts w:hint="eastAsia" w:ascii="宋体" w:hAnsi="宋体" w:cs="宋体"/>
          <w:sz w:val="28"/>
          <w:szCs w:val="28"/>
        </w:rPr>
        <w:t>3.4评标原则</w:t>
      </w:r>
    </w:p>
    <w:p w14:paraId="31C0B5C4">
      <w:pPr>
        <w:spacing w:line="360" w:lineRule="auto"/>
        <w:ind w:left="480" w:leftChars="200"/>
        <w:rPr>
          <w:rFonts w:hint="eastAsia" w:ascii="宋体" w:hAnsi="宋体" w:cs="宋体"/>
          <w:sz w:val="28"/>
          <w:szCs w:val="28"/>
          <w:u w:val="single"/>
        </w:rPr>
      </w:pPr>
      <w:r>
        <w:rPr>
          <w:rFonts w:hint="eastAsia" w:ascii="宋体" w:hAnsi="宋体" w:cs="宋体"/>
          <w:sz w:val="28"/>
          <w:szCs w:val="28"/>
        </w:rPr>
        <w:t>（1）评标中标原则：</w:t>
      </w:r>
      <w:r>
        <w:rPr>
          <w:rFonts w:hint="eastAsia" w:ascii="宋体" w:hAnsi="宋体" w:cs="宋体"/>
          <w:sz w:val="28"/>
          <w:szCs w:val="28"/>
          <w:u w:val="single"/>
        </w:rPr>
        <w:t>经评审的合理最优价中标。</w:t>
      </w:r>
    </w:p>
    <w:p w14:paraId="7CC6520E">
      <w:pPr>
        <w:spacing w:line="360" w:lineRule="auto"/>
        <w:ind w:left="480" w:leftChars="200"/>
        <w:rPr>
          <w:rFonts w:hint="eastAsia" w:ascii="宋体" w:hAnsi="宋体" w:cs="宋体"/>
          <w:sz w:val="28"/>
          <w:szCs w:val="28"/>
        </w:rPr>
      </w:pPr>
      <w:r>
        <w:rPr>
          <w:rFonts w:hint="eastAsia" w:ascii="宋体" w:hAnsi="宋体" w:cs="宋体"/>
          <w:sz w:val="28"/>
          <w:szCs w:val="28"/>
        </w:rPr>
        <w:t>（2）投标函：全面响应招标文件各项要求；</w:t>
      </w:r>
    </w:p>
    <w:p w14:paraId="75A49A17">
      <w:pPr>
        <w:spacing w:line="360" w:lineRule="auto"/>
        <w:ind w:left="480" w:leftChars="200"/>
        <w:rPr>
          <w:rFonts w:hint="eastAsia" w:ascii="宋体" w:hAnsi="宋体" w:cs="宋体"/>
          <w:sz w:val="28"/>
          <w:szCs w:val="28"/>
        </w:rPr>
      </w:pPr>
      <w:r>
        <w:rPr>
          <w:rFonts w:hint="eastAsia" w:ascii="宋体" w:hAnsi="宋体" w:cs="宋体"/>
          <w:sz w:val="28"/>
          <w:szCs w:val="28"/>
        </w:rPr>
        <w:t>（3）商务标：综合单价合理；</w:t>
      </w:r>
    </w:p>
    <w:p w14:paraId="45F61999">
      <w:pPr>
        <w:spacing w:line="360" w:lineRule="auto"/>
        <w:ind w:left="480" w:leftChars="200"/>
        <w:rPr>
          <w:rFonts w:hint="eastAsia" w:ascii="宋体" w:hAnsi="宋体" w:cs="宋体"/>
          <w:sz w:val="28"/>
          <w:szCs w:val="28"/>
        </w:rPr>
      </w:pPr>
      <w:r>
        <w:rPr>
          <w:rFonts w:hint="eastAsia" w:ascii="宋体" w:hAnsi="宋体" w:cs="宋体"/>
          <w:sz w:val="28"/>
          <w:szCs w:val="28"/>
        </w:rPr>
        <w:t>（4）技术标：合情合理、可实施的合作方案，满足本服务性价比及可靠性要求。</w:t>
      </w:r>
    </w:p>
    <w:p w14:paraId="317870AB">
      <w:pPr>
        <w:pStyle w:val="47"/>
        <w:spacing w:line="360" w:lineRule="auto"/>
        <w:ind w:firstLine="1968" w:firstLineChars="700"/>
        <w:jc w:val="both"/>
        <w:rPr>
          <w:rFonts w:hint="eastAsia" w:ascii="宋体" w:hAnsi="宋体" w:cs="宋体"/>
          <w:sz w:val="28"/>
          <w:szCs w:val="28"/>
        </w:rPr>
      </w:pPr>
      <w:bookmarkStart w:id="114" w:name="_Toc95925495"/>
      <w:bookmarkStart w:id="115" w:name="_Toc8256"/>
      <w:bookmarkStart w:id="116" w:name="_Toc4453"/>
      <w:bookmarkStart w:id="117" w:name="_Toc19057"/>
      <w:bookmarkStart w:id="118" w:name="_Toc95925326"/>
      <w:bookmarkStart w:id="119" w:name="_Toc31428"/>
      <w:bookmarkStart w:id="120" w:name="_Toc16697"/>
      <w:r>
        <w:rPr>
          <w:rFonts w:hint="eastAsia" w:ascii="宋体" w:hAnsi="宋体" w:cs="宋体"/>
          <w:sz w:val="28"/>
          <w:szCs w:val="28"/>
        </w:rPr>
        <w:t>第</w:t>
      </w:r>
      <w:r>
        <w:rPr>
          <w:rFonts w:hint="eastAsia" w:ascii="宋体" w:hAnsi="宋体" w:cs="宋体"/>
          <w:sz w:val="28"/>
          <w:szCs w:val="28"/>
          <w:lang w:val="en-US" w:eastAsia="zh-CN"/>
        </w:rPr>
        <w:t>六</w:t>
      </w:r>
      <w:r>
        <w:rPr>
          <w:rFonts w:hint="eastAsia" w:ascii="宋体" w:hAnsi="宋体" w:cs="宋体"/>
          <w:sz w:val="28"/>
          <w:szCs w:val="28"/>
        </w:rPr>
        <w:t>章 合同授予</w:t>
      </w:r>
      <w:bookmarkEnd w:id="114"/>
      <w:bookmarkEnd w:id="115"/>
      <w:bookmarkEnd w:id="116"/>
      <w:bookmarkEnd w:id="117"/>
      <w:bookmarkEnd w:id="118"/>
      <w:bookmarkEnd w:id="119"/>
      <w:bookmarkEnd w:id="120"/>
    </w:p>
    <w:p w14:paraId="69BFC582">
      <w:pPr>
        <w:spacing w:line="360" w:lineRule="auto"/>
        <w:ind w:firstLine="560" w:firstLineChars="200"/>
        <w:rPr>
          <w:rFonts w:hint="eastAsia" w:ascii="宋体" w:hAnsi="宋体" w:cs="宋体"/>
          <w:sz w:val="28"/>
          <w:szCs w:val="28"/>
        </w:rPr>
      </w:pPr>
      <w:r>
        <w:rPr>
          <w:rFonts w:hint="eastAsia" w:ascii="宋体" w:hAnsi="宋体" w:cs="宋体"/>
          <w:sz w:val="28"/>
          <w:szCs w:val="28"/>
        </w:rPr>
        <w:t>1 招标人与中标人将于中标通知书发出</w:t>
      </w:r>
      <w:r>
        <w:rPr>
          <w:rFonts w:hint="eastAsia" w:ascii="宋体" w:hAnsi="宋体" w:cs="宋体"/>
          <w:sz w:val="28"/>
          <w:szCs w:val="28"/>
          <w:lang w:val="en-US" w:eastAsia="zh-CN"/>
        </w:rPr>
        <w:t>10</w:t>
      </w:r>
      <w:r>
        <w:rPr>
          <w:rFonts w:hint="eastAsia" w:ascii="宋体" w:hAnsi="宋体" w:cs="宋体"/>
          <w:sz w:val="28"/>
          <w:szCs w:val="28"/>
        </w:rPr>
        <w:t>天内，根据招标文件和中标人的投标文件签订售电服务合同，合同价为招标人综合评标完成后的修正中标价；</w:t>
      </w:r>
    </w:p>
    <w:p w14:paraId="27CB4D3E">
      <w:pPr>
        <w:spacing w:line="360" w:lineRule="auto"/>
        <w:ind w:firstLine="560" w:firstLineChars="200"/>
        <w:rPr>
          <w:rFonts w:hint="eastAsia" w:ascii="宋体" w:hAnsi="宋体" w:cs="宋体"/>
          <w:sz w:val="28"/>
          <w:szCs w:val="28"/>
        </w:rPr>
      </w:pPr>
      <w:r>
        <w:rPr>
          <w:rFonts w:hint="eastAsia" w:ascii="宋体" w:hAnsi="宋体" w:cs="宋体"/>
          <w:sz w:val="28"/>
          <w:szCs w:val="28"/>
        </w:rPr>
        <w:t>2 中标人如未按招标文件的相关规定与招标人签订合同，则招标人将有充分的理由废除中标，给招标人造成损失的，中标人须予以赔偿并承担相应法律责任。</w:t>
      </w:r>
    </w:p>
    <w:p w14:paraId="0ADF6B66">
      <w:pPr>
        <w:spacing w:line="360" w:lineRule="auto"/>
        <w:rPr>
          <w:rFonts w:hint="eastAsia" w:ascii="宋体" w:hAnsi="宋体" w:cs="宋体"/>
          <w:sz w:val="28"/>
          <w:szCs w:val="28"/>
        </w:rPr>
      </w:pPr>
    </w:p>
    <w:p w14:paraId="2FF3A018">
      <w:pPr>
        <w:rPr>
          <w:rFonts w:hint="eastAsia" w:ascii="宋体" w:hAnsi="宋体" w:cs="宋体"/>
          <w:sz w:val="28"/>
          <w:szCs w:val="28"/>
        </w:rPr>
      </w:pPr>
    </w:p>
    <w:p w14:paraId="7508BE11">
      <w:pPr>
        <w:rPr>
          <w:rFonts w:hint="eastAsia" w:ascii="宋体" w:hAnsi="宋体" w:cs="宋体"/>
          <w:sz w:val="28"/>
          <w:szCs w:val="28"/>
        </w:rPr>
      </w:pPr>
    </w:p>
    <w:p w14:paraId="30432BD6">
      <w:pPr>
        <w:pStyle w:val="18"/>
        <w:spacing w:before="120" w:line="224" w:lineRule="auto"/>
        <w:ind w:firstLine="3935" w:firstLineChars="1400"/>
        <w:jc w:val="both"/>
        <w:rPr>
          <w:rFonts w:hint="eastAsia" w:ascii="宋体" w:hAnsi="宋体" w:cs="宋体"/>
          <w:spacing w:val="-17"/>
          <w:sz w:val="28"/>
          <w:szCs w:val="28"/>
        </w:rPr>
      </w:pPr>
      <w:r>
        <w:rPr>
          <w:rFonts w:hint="eastAsia" w:ascii="宋体" w:hAnsi="宋体" w:cs="宋体"/>
          <w:snapToGrid w:val="0"/>
          <w:color w:val="000000"/>
          <w:kern w:val="0"/>
          <w:sz w:val="28"/>
          <w:szCs w:val="28"/>
          <w:lang w:eastAsia="en-US"/>
        </w:rPr>
        <w:t>报价</w:t>
      </w:r>
      <w:r>
        <w:rPr>
          <w:rFonts w:hint="eastAsia" w:ascii="宋体" w:hAnsi="宋体" w:cs="宋体"/>
          <w:snapToGrid w:val="0"/>
          <w:color w:val="000000"/>
          <w:kern w:val="0"/>
          <w:sz w:val="28"/>
          <w:szCs w:val="28"/>
        </w:rPr>
        <w:t>单</w:t>
      </w:r>
    </w:p>
    <w:tbl>
      <w:tblPr>
        <w:tblStyle w:val="50"/>
        <w:tblW w:w="95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5"/>
        <w:gridCol w:w="2228"/>
        <w:gridCol w:w="323"/>
        <w:gridCol w:w="1668"/>
        <w:gridCol w:w="1185"/>
        <w:gridCol w:w="3672"/>
      </w:tblGrid>
      <w:tr w14:paraId="4E84F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9531" w:type="dxa"/>
            <w:gridSpan w:val="6"/>
            <w:noWrap w:val="0"/>
            <w:vAlign w:val="top"/>
          </w:tcPr>
          <w:p w14:paraId="6CDE6FE6">
            <w:pPr>
              <w:pStyle w:val="102"/>
              <w:spacing w:before="175" w:line="220" w:lineRule="auto"/>
              <w:ind w:left="75"/>
              <w:rPr>
                <w:rFonts w:hint="eastAsia" w:ascii="宋体" w:hAnsi="宋体" w:eastAsia="宋体" w:cs="宋体"/>
                <w:sz w:val="28"/>
                <w:szCs w:val="28"/>
              </w:rPr>
            </w:pPr>
            <w:r>
              <w:rPr>
                <w:rFonts w:hint="eastAsia" w:ascii="宋体" w:hAnsi="宋体" w:eastAsia="宋体" w:cs="宋体"/>
                <w:spacing w:val="-1"/>
                <w:sz w:val="28"/>
                <w:szCs w:val="28"/>
              </w:rPr>
              <w:t>一、交易电费</w:t>
            </w:r>
          </w:p>
        </w:tc>
      </w:tr>
      <w:tr w14:paraId="69F41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455" w:type="dxa"/>
            <w:noWrap w:val="0"/>
            <w:textDirection w:val="tbRlV"/>
            <w:vAlign w:val="top"/>
          </w:tcPr>
          <w:p w14:paraId="797C7BC7">
            <w:pPr>
              <w:pStyle w:val="102"/>
              <w:spacing w:before="124" w:line="199" w:lineRule="auto"/>
              <w:ind w:left="68"/>
              <w:rPr>
                <w:rFonts w:hint="eastAsia" w:ascii="宋体" w:hAnsi="宋体" w:eastAsia="宋体" w:cs="宋体"/>
                <w:sz w:val="28"/>
                <w:szCs w:val="28"/>
              </w:rPr>
            </w:pPr>
            <w:r>
              <w:rPr>
                <w:rFonts w:hint="eastAsia" w:ascii="宋体" w:hAnsi="宋体" w:eastAsia="宋体" w:cs="宋体"/>
                <w:sz w:val="28"/>
                <w:szCs w:val="28"/>
              </w:rPr>
              <w:t>序</w:t>
            </w:r>
            <w:r>
              <w:rPr>
                <w:rFonts w:hint="eastAsia" w:ascii="宋体" w:hAnsi="宋体" w:eastAsia="宋体" w:cs="宋体"/>
                <w:spacing w:val="29"/>
                <w:sz w:val="28"/>
                <w:szCs w:val="28"/>
              </w:rPr>
              <w:t xml:space="preserve">  </w:t>
            </w:r>
            <w:r>
              <w:rPr>
                <w:rFonts w:hint="eastAsia" w:ascii="宋体" w:hAnsi="宋体" w:eastAsia="宋体" w:cs="宋体"/>
                <w:sz w:val="28"/>
                <w:szCs w:val="28"/>
              </w:rPr>
              <w:t>号</w:t>
            </w:r>
          </w:p>
        </w:tc>
        <w:tc>
          <w:tcPr>
            <w:tcW w:w="2551" w:type="dxa"/>
            <w:gridSpan w:val="2"/>
            <w:noWrap w:val="0"/>
            <w:vAlign w:val="top"/>
          </w:tcPr>
          <w:p w14:paraId="7C6E8435">
            <w:pPr>
              <w:spacing w:line="272" w:lineRule="auto"/>
              <w:rPr>
                <w:rFonts w:hint="eastAsia" w:ascii="宋体" w:hAnsi="宋体" w:eastAsia="宋体" w:cs="宋体"/>
                <w:sz w:val="28"/>
                <w:szCs w:val="28"/>
              </w:rPr>
            </w:pPr>
          </w:p>
          <w:p w14:paraId="55AC8D97">
            <w:pPr>
              <w:pStyle w:val="102"/>
              <w:spacing w:before="78" w:line="221" w:lineRule="auto"/>
              <w:ind w:left="690"/>
              <w:rPr>
                <w:rFonts w:hint="eastAsia" w:ascii="宋体" w:hAnsi="宋体" w:eastAsia="宋体" w:cs="宋体"/>
                <w:sz w:val="28"/>
                <w:szCs w:val="28"/>
              </w:rPr>
            </w:pPr>
            <w:r>
              <w:rPr>
                <w:rFonts w:hint="eastAsia" w:ascii="宋体" w:hAnsi="宋体" w:eastAsia="宋体" w:cs="宋体"/>
                <w:spacing w:val="4"/>
                <w:sz w:val="28"/>
                <w:szCs w:val="28"/>
              </w:rPr>
              <w:t>电量比例</w:t>
            </w:r>
          </w:p>
        </w:tc>
        <w:tc>
          <w:tcPr>
            <w:tcW w:w="1668" w:type="dxa"/>
            <w:noWrap w:val="0"/>
            <w:vAlign w:val="top"/>
          </w:tcPr>
          <w:p w14:paraId="1F822863">
            <w:pPr>
              <w:spacing w:line="271" w:lineRule="auto"/>
              <w:rPr>
                <w:rFonts w:hint="eastAsia" w:ascii="宋体" w:hAnsi="宋体" w:eastAsia="宋体" w:cs="宋体"/>
                <w:sz w:val="28"/>
                <w:szCs w:val="28"/>
              </w:rPr>
            </w:pPr>
          </w:p>
          <w:p w14:paraId="50B69C26">
            <w:pPr>
              <w:pStyle w:val="102"/>
              <w:spacing w:before="79" w:line="220" w:lineRule="auto"/>
              <w:ind w:left="331"/>
              <w:rPr>
                <w:rFonts w:hint="eastAsia" w:ascii="宋体" w:hAnsi="宋体" w:eastAsia="宋体" w:cs="宋体"/>
                <w:sz w:val="28"/>
                <w:szCs w:val="28"/>
              </w:rPr>
            </w:pPr>
            <w:r>
              <w:rPr>
                <w:rFonts w:hint="eastAsia" w:ascii="宋体" w:hAnsi="宋体" w:eastAsia="宋体" w:cs="宋体"/>
                <w:spacing w:val="-2"/>
                <w:sz w:val="28"/>
                <w:szCs w:val="28"/>
              </w:rPr>
              <w:t>合作方式</w:t>
            </w:r>
          </w:p>
        </w:tc>
        <w:tc>
          <w:tcPr>
            <w:tcW w:w="4857" w:type="dxa"/>
            <w:gridSpan w:val="2"/>
            <w:noWrap w:val="0"/>
            <w:vAlign w:val="top"/>
          </w:tcPr>
          <w:p w14:paraId="5FF0445F">
            <w:pPr>
              <w:spacing w:line="271" w:lineRule="auto"/>
              <w:rPr>
                <w:rFonts w:hint="eastAsia" w:ascii="宋体" w:hAnsi="宋体" w:eastAsia="宋体" w:cs="宋体"/>
                <w:sz w:val="28"/>
                <w:szCs w:val="28"/>
              </w:rPr>
            </w:pPr>
          </w:p>
          <w:p w14:paraId="4D52DAE8">
            <w:pPr>
              <w:pStyle w:val="102"/>
              <w:spacing w:before="78" w:line="219" w:lineRule="auto"/>
              <w:ind w:left="1403"/>
              <w:rPr>
                <w:rFonts w:hint="eastAsia" w:ascii="宋体" w:hAnsi="宋体" w:eastAsia="宋体" w:cs="宋体"/>
                <w:sz w:val="28"/>
                <w:szCs w:val="28"/>
              </w:rPr>
            </w:pPr>
            <w:r>
              <w:rPr>
                <w:rFonts w:hint="eastAsia" w:ascii="宋体" w:hAnsi="宋体" w:eastAsia="宋体" w:cs="宋体"/>
                <w:spacing w:val="1"/>
                <w:sz w:val="28"/>
                <w:szCs w:val="28"/>
              </w:rPr>
              <w:t>甲方电费结算标准</w:t>
            </w:r>
          </w:p>
        </w:tc>
      </w:tr>
      <w:tr w14:paraId="7F043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3" w:hRule="atLeast"/>
        </w:trPr>
        <w:tc>
          <w:tcPr>
            <w:tcW w:w="455" w:type="dxa"/>
            <w:noWrap w:val="0"/>
            <w:vAlign w:val="top"/>
          </w:tcPr>
          <w:p w14:paraId="76779EFC">
            <w:pPr>
              <w:spacing w:line="392" w:lineRule="auto"/>
              <w:rPr>
                <w:rFonts w:hint="eastAsia" w:ascii="宋体" w:hAnsi="宋体" w:eastAsia="宋体" w:cs="宋体"/>
                <w:sz w:val="28"/>
                <w:szCs w:val="28"/>
              </w:rPr>
            </w:pPr>
          </w:p>
          <w:p w14:paraId="0D8C3337">
            <w:pPr>
              <w:pStyle w:val="102"/>
              <w:spacing w:before="78" w:line="184" w:lineRule="auto"/>
              <w:ind w:left="154"/>
              <w:rPr>
                <w:rFonts w:hint="eastAsia" w:ascii="宋体" w:hAnsi="宋体" w:eastAsia="宋体" w:cs="宋体"/>
                <w:sz w:val="28"/>
                <w:szCs w:val="28"/>
              </w:rPr>
            </w:pPr>
            <w:r>
              <w:rPr>
                <w:rFonts w:hint="eastAsia" w:ascii="宋体" w:hAnsi="宋体" w:eastAsia="宋体" w:cs="宋体"/>
                <w:sz w:val="28"/>
                <w:szCs w:val="28"/>
              </w:rPr>
              <w:t>1</w:t>
            </w:r>
          </w:p>
        </w:tc>
        <w:tc>
          <w:tcPr>
            <w:tcW w:w="2551" w:type="dxa"/>
            <w:gridSpan w:val="2"/>
            <w:noWrap w:val="0"/>
            <w:vAlign w:val="top"/>
          </w:tcPr>
          <w:p w14:paraId="0EC7C1CB">
            <w:pPr>
              <w:pStyle w:val="102"/>
              <w:spacing w:before="172" w:line="337" w:lineRule="auto"/>
              <w:ind w:right="213"/>
              <w:rPr>
                <w:rFonts w:hint="eastAsia" w:ascii="宋体" w:hAnsi="宋体" w:eastAsia="宋体" w:cs="宋体"/>
                <w:sz w:val="28"/>
                <w:szCs w:val="28"/>
                <w:lang w:eastAsia="zh-CN"/>
              </w:rPr>
            </w:pPr>
            <w:r>
              <w:rPr>
                <w:rFonts w:hint="eastAsia" w:ascii="宋体" w:hAnsi="宋体" w:eastAsia="宋体" w:cs="宋体"/>
                <w:spacing w:val="1"/>
                <w:sz w:val="28"/>
                <w:szCs w:val="28"/>
                <w:lang w:eastAsia="zh-CN"/>
              </w:rPr>
              <w:t>甲方月度实际用</w:t>
            </w:r>
            <w:r>
              <w:rPr>
                <w:rFonts w:hint="eastAsia" w:cs="宋体"/>
                <w:spacing w:val="1"/>
                <w:sz w:val="28"/>
                <w:szCs w:val="28"/>
                <w:lang w:val="en-US" w:eastAsia="zh-CN"/>
              </w:rPr>
              <w:t>电</w:t>
            </w:r>
            <w:r>
              <w:rPr>
                <w:rFonts w:hint="eastAsia" w:ascii="宋体" w:hAnsi="宋体" w:eastAsia="宋体" w:cs="宋体"/>
                <w:spacing w:val="-12"/>
                <w:sz w:val="28"/>
                <w:szCs w:val="28"/>
                <w:lang w:eastAsia="zh-CN"/>
              </w:rPr>
              <w:t>量</w:t>
            </w:r>
            <w:r>
              <w:rPr>
                <w:rFonts w:hint="eastAsia" w:ascii="宋体" w:hAnsi="宋体" w:eastAsia="宋体" w:cs="宋体"/>
                <w:spacing w:val="-12"/>
                <w:sz w:val="28"/>
                <w:szCs w:val="28"/>
                <w:u w:val="single"/>
                <w:lang w:eastAsia="zh-CN"/>
              </w:rPr>
              <w:t>的</w:t>
            </w:r>
            <w:r>
              <w:rPr>
                <w:rFonts w:hint="eastAsia" w:ascii="宋体" w:hAnsi="宋体" w:eastAsia="宋体" w:cs="宋体"/>
                <w:spacing w:val="-12"/>
                <w:sz w:val="28"/>
                <w:szCs w:val="28"/>
                <w:highlight w:val="none"/>
                <w:u w:val="single"/>
                <w:lang w:eastAsia="zh-CN"/>
              </w:rPr>
              <w:t>90</w:t>
            </w:r>
            <w:r>
              <w:rPr>
                <w:rFonts w:hint="eastAsia" w:ascii="宋体" w:hAnsi="宋体" w:eastAsia="宋体" w:cs="宋体"/>
                <w:spacing w:val="-27"/>
                <w:sz w:val="28"/>
                <w:szCs w:val="28"/>
                <w:highlight w:val="none"/>
                <w:u w:val="single"/>
                <w:lang w:eastAsia="zh-CN"/>
              </w:rPr>
              <w:t xml:space="preserve"> </w:t>
            </w:r>
            <w:r>
              <w:rPr>
                <w:rFonts w:hint="eastAsia" w:ascii="宋体" w:hAnsi="宋体" w:eastAsia="宋体" w:cs="宋体"/>
                <w:spacing w:val="-12"/>
                <w:sz w:val="28"/>
                <w:szCs w:val="28"/>
                <w:highlight w:val="none"/>
                <w:u w:val="single"/>
                <w:lang w:eastAsia="zh-CN"/>
              </w:rPr>
              <w:t>%/80%/70</w:t>
            </w:r>
            <w:r>
              <w:rPr>
                <w:rFonts w:hint="eastAsia" w:ascii="宋体" w:hAnsi="宋体" w:eastAsia="宋体" w:cs="宋体"/>
                <w:spacing w:val="-12"/>
                <w:sz w:val="28"/>
                <w:szCs w:val="28"/>
                <w:u w:val="single"/>
                <w:lang w:eastAsia="zh-CN"/>
              </w:rPr>
              <w:t>%</w:t>
            </w:r>
          </w:p>
        </w:tc>
        <w:tc>
          <w:tcPr>
            <w:tcW w:w="1668" w:type="dxa"/>
            <w:noWrap w:val="0"/>
            <w:vAlign w:val="top"/>
          </w:tcPr>
          <w:p w14:paraId="451DA722">
            <w:pPr>
              <w:spacing w:line="329" w:lineRule="auto"/>
              <w:rPr>
                <w:rFonts w:hint="eastAsia" w:ascii="宋体" w:hAnsi="宋体" w:eastAsia="宋体" w:cs="宋体"/>
                <w:sz w:val="28"/>
                <w:szCs w:val="28"/>
              </w:rPr>
            </w:pPr>
          </w:p>
          <w:p w14:paraId="1387064A">
            <w:pPr>
              <w:pStyle w:val="102"/>
              <w:spacing w:before="78" w:line="218" w:lineRule="auto"/>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固定价格</w:t>
            </w:r>
          </w:p>
        </w:tc>
        <w:tc>
          <w:tcPr>
            <w:tcW w:w="4857" w:type="dxa"/>
            <w:gridSpan w:val="2"/>
            <w:noWrap w:val="0"/>
            <w:vAlign w:val="top"/>
          </w:tcPr>
          <w:p w14:paraId="1E745A6E">
            <w:pPr>
              <w:pStyle w:val="102"/>
              <w:spacing w:before="139" w:line="350" w:lineRule="auto"/>
              <w:ind w:right="84"/>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平段电价按固定电价</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厘/KWH执行 （含税）</w:t>
            </w:r>
          </w:p>
        </w:tc>
      </w:tr>
      <w:tr w14:paraId="67DBF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455" w:type="dxa"/>
            <w:noWrap w:val="0"/>
            <w:vAlign w:val="top"/>
          </w:tcPr>
          <w:p w14:paraId="3A59A573">
            <w:pPr>
              <w:pStyle w:val="102"/>
              <w:spacing w:before="78" w:line="183" w:lineRule="auto"/>
              <w:ind w:left="154"/>
              <w:rPr>
                <w:rFonts w:hint="eastAsia" w:ascii="宋体" w:hAnsi="宋体" w:eastAsia="宋体" w:cs="宋体"/>
                <w:sz w:val="28"/>
                <w:szCs w:val="28"/>
                <w:lang w:val="en-US" w:eastAsia="zh-CN"/>
              </w:rPr>
            </w:pPr>
          </w:p>
          <w:p w14:paraId="22C2A3F6">
            <w:pPr>
              <w:pStyle w:val="102"/>
              <w:spacing w:before="78" w:line="183"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2551" w:type="dxa"/>
            <w:gridSpan w:val="2"/>
            <w:noWrap w:val="0"/>
            <w:vAlign w:val="top"/>
          </w:tcPr>
          <w:p w14:paraId="0E0ADBCB">
            <w:pPr>
              <w:pStyle w:val="102"/>
              <w:spacing w:before="78" w:line="353" w:lineRule="auto"/>
              <w:ind w:right="213"/>
              <w:rPr>
                <w:rFonts w:hint="eastAsia" w:ascii="宋体" w:hAnsi="宋体" w:eastAsia="宋体" w:cs="宋体"/>
                <w:spacing w:val="1"/>
                <w:sz w:val="28"/>
                <w:szCs w:val="28"/>
                <w:lang w:val="en-US" w:eastAsia="zh-CN"/>
              </w:rPr>
            </w:pPr>
            <w:r>
              <w:rPr>
                <w:rFonts w:hint="eastAsia" w:ascii="宋体" w:hAnsi="宋体" w:eastAsia="宋体" w:cs="宋体"/>
                <w:spacing w:val="1"/>
                <w:sz w:val="28"/>
                <w:szCs w:val="28"/>
              </w:rPr>
              <w:t>甲方月度实际用电</w:t>
            </w:r>
            <w:r>
              <w:rPr>
                <w:rFonts w:hint="eastAsia" w:ascii="宋体" w:hAnsi="宋体" w:eastAsia="宋体" w:cs="宋体"/>
                <w:spacing w:val="-14"/>
                <w:sz w:val="28"/>
                <w:szCs w:val="28"/>
              </w:rPr>
              <w:t>的</w:t>
            </w:r>
            <w:r>
              <w:rPr>
                <w:rFonts w:hint="eastAsia" w:ascii="宋体" w:hAnsi="宋体" w:eastAsia="宋体" w:cs="宋体"/>
                <w:spacing w:val="73"/>
                <w:sz w:val="28"/>
                <w:szCs w:val="28"/>
                <w:u w:val="single"/>
                <w:lang w:eastAsia="zh-CN"/>
              </w:rPr>
              <w:t>10</w:t>
            </w:r>
            <w:r>
              <w:rPr>
                <w:rFonts w:hint="eastAsia" w:ascii="宋体" w:hAnsi="宋体" w:eastAsia="宋体" w:cs="宋体"/>
                <w:spacing w:val="-14"/>
                <w:sz w:val="28"/>
                <w:szCs w:val="28"/>
                <w:u w:val="single"/>
              </w:rPr>
              <w:t>%</w:t>
            </w:r>
            <w:r>
              <w:rPr>
                <w:rFonts w:hint="eastAsia" w:ascii="宋体" w:hAnsi="宋体" w:eastAsia="宋体" w:cs="宋体"/>
                <w:spacing w:val="-14"/>
                <w:sz w:val="28"/>
                <w:szCs w:val="28"/>
                <w:u w:val="single"/>
                <w:lang w:eastAsia="zh-CN"/>
              </w:rPr>
              <w:t>/20%/30%</w:t>
            </w:r>
          </w:p>
        </w:tc>
        <w:tc>
          <w:tcPr>
            <w:tcW w:w="1668" w:type="dxa"/>
            <w:noWrap w:val="0"/>
            <w:vAlign w:val="top"/>
          </w:tcPr>
          <w:p w14:paraId="1C219726">
            <w:pPr>
              <w:pStyle w:val="102"/>
              <w:spacing w:before="78" w:line="219" w:lineRule="auto"/>
              <w:ind w:firstLine="552" w:firstLineChars="200"/>
              <w:jc w:val="both"/>
              <w:rPr>
                <w:rFonts w:hint="eastAsia" w:ascii="宋体" w:hAnsi="宋体" w:eastAsia="宋体" w:cs="宋体"/>
                <w:spacing w:val="-2"/>
                <w:sz w:val="28"/>
                <w:szCs w:val="28"/>
                <w:lang w:val="en-US" w:eastAsia="zh-CN"/>
              </w:rPr>
            </w:pPr>
          </w:p>
          <w:p w14:paraId="2C6B619E">
            <w:pPr>
              <w:pStyle w:val="102"/>
              <w:spacing w:before="78" w:line="219" w:lineRule="auto"/>
              <w:ind w:firstLine="276" w:firstLineChars="100"/>
              <w:jc w:val="both"/>
              <w:rPr>
                <w:rFonts w:hint="eastAsia" w:ascii="宋体" w:hAnsi="宋体" w:eastAsia="宋体" w:cs="宋体"/>
                <w:spacing w:val="-2"/>
                <w:sz w:val="28"/>
                <w:szCs w:val="28"/>
                <w:lang w:val="en-US" w:eastAsia="zh-CN"/>
              </w:rPr>
            </w:pPr>
            <w:r>
              <w:rPr>
                <w:rFonts w:hint="eastAsia" w:ascii="宋体" w:hAnsi="宋体" w:eastAsia="宋体" w:cs="宋体"/>
                <w:spacing w:val="-2"/>
                <w:sz w:val="28"/>
                <w:szCs w:val="28"/>
                <w:lang w:val="en-US" w:eastAsia="zh-CN"/>
              </w:rPr>
              <w:t>浮动价格</w:t>
            </w:r>
          </w:p>
        </w:tc>
        <w:tc>
          <w:tcPr>
            <w:tcW w:w="4857" w:type="dxa"/>
            <w:gridSpan w:val="2"/>
            <w:noWrap w:val="0"/>
            <w:vAlign w:val="top"/>
          </w:tcPr>
          <w:p w14:paraId="7ABD3DCB">
            <w:pPr>
              <w:pStyle w:val="102"/>
              <w:spacing w:before="166" w:line="218" w:lineRule="auto"/>
              <w:ind w:left="204"/>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按照以下价格含分摊：</w:t>
            </w:r>
          </w:p>
          <w:p w14:paraId="4C42CDF8">
            <w:pPr>
              <w:pStyle w:val="102"/>
              <w:spacing w:before="166" w:line="218" w:lineRule="auto"/>
              <w:ind w:left="204"/>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p w14:paraId="0CB97022">
            <w:pPr>
              <w:pStyle w:val="102"/>
              <w:spacing w:before="166" w:line="218" w:lineRule="auto"/>
              <w:ind w:left="204"/>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r>
      <w:tr w14:paraId="174E7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1" w:hRule="atLeast"/>
        </w:trPr>
        <w:tc>
          <w:tcPr>
            <w:tcW w:w="455" w:type="dxa"/>
            <w:noWrap w:val="0"/>
            <w:vAlign w:val="top"/>
          </w:tcPr>
          <w:p w14:paraId="722153EB">
            <w:pPr>
              <w:spacing w:line="267" w:lineRule="auto"/>
              <w:rPr>
                <w:rFonts w:hint="eastAsia" w:ascii="宋体" w:hAnsi="宋体" w:eastAsia="宋体" w:cs="宋体"/>
                <w:sz w:val="28"/>
                <w:szCs w:val="28"/>
              </w:rPr>
            </w:pPr>
          </w:p>
          <w:p w14:paraId="7EDB4245">
            <w:pPr>
              <w:pStyle w:val="102"/>
              <w:spacing w:before="78" w:line="183" w:lineRule="auto"/>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p>
        </w:tc>
        <w:tc>
          <w:tcPr>
            <w:tcW w:w="2551" w:type="dxa"/>
            <w:gridSpan w:val="2"/>
            <w:noWrap w:val="0"/>
            <w:vAlign w:val="top"/>
          </w:tcPr>
          <w:p w14:paraId="5357C024">
            <w:pPr>
              <w:pStyle w:val="102"/>
              <w:spacing w:before="78" w:line="353" w:lineRule="auto"/>
              <w:ind w:right="213"/>
              <w:rPr>
                <w:rFonts w:hint="eastAsia" w:ascii="宋体" w:hAnsi="宋体" w:eastAsia="宋体" w:cs="宋体"/>
                <w:sz w:val="28"/>
                <w:szCs w:val="28"/>
                <w:lang w:val="en-US" w:eastAsia="zh-CN"/>
              </w:rPr>
            </w:pPr>
            <w:r>
              <w:rPr>
                <w:rFonts w:hint="eastAsia" w:ascii="宋体" w:hAnsi="宋体" w:eastAsia="宋体" w:cs="宋体"/>
                <w:spacing w:val="1"/>
                <w:sz w:val="28"/>
                <w:szCs w:val="28"/>
              </w:rPr>
              <w:t>甲方月度实际用电</w:t>
            </w:r>
            <w:r>
              <w:rPr>
                <w:rFonts w:hint="eastAsia" w:ascii="宋体" w:hAnsi="宋体" w:eastAsia="宋体" w:cs="宋体"/>
                <w:spacing w:val="5"/>
                <w:sz w:val="28"/>
                <w:szCs w:val="28"/>
              </w:rPr>
              <w:t xml:space="preserve"> </w:t>
            </w:r>
            <w:r>
              <w:rPr>
                <w:rFonts w:hint="eastAsia" w:ascii="宋体" w:hAnsi="宋体" w:eastAsia="宋体" w:cs="宋体"/>
                <w:spacing w:val="-14"/>
                <w:sz w:val="28"/>
                <w:szCs w:val="28"/>
              </w:rPr>
              <w:t>的</w:t>
            </w:r>
            <w:r>
              <w:rPr>
                <w:rFonts w:hint="eastAsia" w:ascii="宋体" w:hAnsi="宋体" w:eastAsia="宋体" w:cs="宋体"/>
                <w:spacing w:val="73"/>
                <w:sz w:val="28"/>
                <w:szCs w:val="28"/>
                <w:u w:val="single"/>
                <w:lang w:val="en-US" w:eastAsia="zh-CN"/>
              </w:rPr>
              <w:t>100%</w:t>
            </w:r>
          </w:p>
        </w:tc>
        <w:tc>
          <w:tcPr>
            <w:tcW w:w="1668" w:type="dxa"/>
            <w:noWrap w:val="0"/>
            <w:vAlign w:val="top"/>
          </w:tcPr>
          <w:p w14:paraId="7F597F89">
            <w:pPr>
              <w:spacing w:line="246" w:lineRule="auto"/>
              <w:rPr>
                <w:rFonts w:hint="eastAsia" w:ascii="宋体" w:hAnsi="宋体" w:eastAsia="宋体" w:cs="宋体"/>
                <w:sz w:val="28"/>
                <w:szCs w:val="28"/>
              </w:rPr>
            </w:pPr>
          </w:p>
          <w:p w14:paraId="5124FF9F">
            <w:pPr>
              <w:pStyle w:val="102"/>
              <w:spacing w:before="78" w:line="219" w:lineRule="auto"/>
              <w:ind w:firstLine="276" w:firstLineChars="100"/>
              <w:rPr>
                <w:rFonts w:hint="eastAsia" w:ascii="宋体" w:hAnsi="宋体" w:eastAsia="宋体" w:cs="宋体"/>
                <w:sz w:val="28"/>
                <w:szCs w:val="28"/>
              </w:rPr>
            </w:pPr>
            <w:r>
              <w:rPr>
                <w:rFonts w:hint="eastAsia" w:ascii="宋体" w:hAnsi="宋体" w:eastAsia="宋体" w:cs="宋体"/>
                <w:spacing w:val="-2"/>
                <w:sz w:val="28"/>
                <w:szCs w:val="28"/>
              </w:rPr>
              <w:t>服务费模式</w:t>
            </w:r>
          </w:p>
        </w:tc>
        <w:tc>
          <w:tcPr>
            <w:tcW w:w="4857" w:type="dxa"/>
            <w:gridSpan w:val="2"/>
            <w:noWrap w:val="0"/>
            <w:vAlign w:val="top"/>
          </w:tcPr>
          <w:p w14:paraId="1E640EEA">
            <w:pPr>
              <w:pStyle w:val="102"/>
              <w:spacing w:before="166" w:line="218" w:lineRule="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全电量收取</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厘/KWH的浮动电价。</w:t>
            </w:r>
          </w:p>
        </w:tc>
      </w:tr>
      <w:tr w14:paraId="35320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9531" w:type="dxa"/>
            <w:gridSpan w:val="6"/>
            <w:noWrap w:val="0"/>
            <w:vAlign w:val="top"/>
          </w:tcPr>
          <w:p w14:paraId="6548CEB1">
            <w:pPr>
              <w:pStyle w:val="102"/>
              <w:spacing w:before="185" w:line="219" w:lineRule="auto"/>
              <w:ind w:left="75"/>
              <w:rPr>
                <w:rFonts w:hint="eastAsia" w:ascii="宋体" w:hAnsi="宋体" w:eastAsia="宋体" w:cs="宋体"/>
                <w:sz w:val="28"/>
                <w:szCs w:val="28"/>
              </w:rPr>
            </w:pPr>
            <w:r>
              <w:rPr>
                <w:rFonts w:hint="eastAsia" w:ascii="宋体" w:hAnsi="宋体" w:eastAsia="宋体" w:cs="宋体"/>
                <w:spacing w:val="1"/>
                <w:sz w:val="28"/>
                <w:szCs w:val="28"/>
              </w:rPr>
              <w:t>二.偏差考核电费</w:t>
            </w:r>
          </w:p>
        </w:tc>
      </w:tr>
      <w:tr w14:paraId="4A6C5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683" w:type="dxa"/>
            <w:gridSpan w:val="2"/>
            <w:noWrap w:val="0"/>
            <w:vAlign w:val="top"/>
          </w:tcPr>
          <w:p w14:paraId="7C08D10E">
            <w:pPr>
              <w:pStyle w:val="102"/>
              <w:spacing w:before="126" w:line="219" w:lineRule="auto"/>
              <w:ind w:left="855"/>
              <w:rPr>
                <w:rFonts w:hint="eastAsia" w:ascii="宋体" w:hAnsi="宋体" w:eastAsia="宋体" w:cs="宋体"/>
                <w:sz w:val="28"/>
                <w:szCs w:val="28"/>
              </w:rPr>
            </w:pPr>
            <w:r>
              <w:rPr>
                <w:rFonts w:hint="eastAsia" w:ascii="宋体" w:hAnsi="宋体" w:eastAsia="宋体" w:cs="宋体"/>
                <w:spacing w:val="2"/>
                <w:sz w:val="28"/>
                <w:szCs w:val="28"/>
              </w:rPr>
              <w:t>电量来源</w:t>
            </w:r>
          </w:p>
        </w:tc>
        <w:tc>
          <w:tcPr>
            <w:tcW w:w="3176" w:type="dxa"/>
            <w:gridSpan w:val="3"/>
            <w:noWrap w:val="0"/>
            <w:vAlign w:val="top"/>
          </w:tcPr>
          <w:p w14:paraId="088EBAA8">
            <w:pPr>
              <w:pStyle w:val="102"/>
              <w:spacing w:before="126" w:line="219" w:lineRule="auto"/>
              <w:ind w:left="1101"/>
              <w:rPr>
                <w:rFonts w:hint="eastAsia" w:ascii="宋体" w:hAnsi="宋体" w:eastAsia="宋体" w:cs="宋体"/>
                <w:sz w:val="28"/>
                <w:szCs w:val="28"/>
              </w:rPr>
            </w:pPr>
            <w:r>
              <w:rPr>
                <w:rFonts w:hint="eastAsia" w:ascii="宋体" w:hAnsi="宋体" w:eastAsia="宋体" w:cs="宋体"/>
                <w:spacing w:val="2"/>
                <w:sz w:val="28"/>
                <w:szCs w:val="28"/>
              </w:rPr>
              <w:t>考核标准</w:t>
            </w:r>
          </w:p>
        </w:tc>
        <w:tc>
          <w:tcPr>
            <w:tcW w:w="3672" w:type="dxa"/>
            <w:noWrap w:val="0"/>
            <w:vAlign w:val="top"/>
          </w:tcPr>
          <w:p w14:paraId="0BC0FF85">
            <w:pPr>
              <w:pStyle w:val="102"/>
              <w:spacing w:before="126" w:line="219" w:lineRule="auto"/>
              <w:ind w:left="776"/>
              <w:rPr>
                <w:rFonts w:hint="eastAsia" w:ascii="宋体" w:hAnsi="宋体" w:eastAsia="宋体" w:cs="宋体"/>
                <w:sz w:val="28"/>
                <w:szCs w:val="28"/>
              </w:rPr>
            </w:pPr>
            <w:r>
              <w:rPr>
                <w:rFonts w:hint="eastAsia" w:ascii="宋体" w:hAnsi="宋体" w:eastAsia="宋体" w:cs="宋体"/>
                <w:spacing w:val="5"/>
                <w:sz w:val="28"/>
                <w:szCs w:val="28"/>
              </w:rPr>
              <w:t>甲方承担比例(%)</w:t>
            </w:r>
          </w:p>
        </w:tc>
      </w:tr>
      <w:tr w14:paraId="67C60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2683" w:type="dxa"/>
            <w:gridSpan w:val="2"/>
            <w:noWrap w:val="0"/>
            <w:vAlign w:val="top"/>
          </w:tcPr>
          <w:p w14:paraId="421FDABE">
            <w:pPr>
              <w:pStyle w:val="102"/>
              <w:spacing w:before="76" w:line="214" w:lineRule="auto"/>
              <w:ind w:left="794"/>
              <w:rPr>
                <w:rFonts w:hint="eastAsia" w:ascii="宋体" w:hAnsi="宋体" w:eastAsia="宋体" w:cs="宋体"/>
                <w:sz w:val="28"/>
                <w:szCs w:val="28"/>
                <w:lang w:eastAsia="zh-CN"/>
              </w:rPr>
            </w:pPr>
            <w:r>
              <w:rPr>
                <w:rFonts w:hint="eastAsia" w:ascii="宋体" w:hAnsi="宋体" w:eastAsia="宋体" w:cs="宋体"/>
                <w:spacing w:val="-2"/>
                <w:sz w:val="28"/>
                <w:szCs w:val="28"/>
                <w:lang w:eastAsia="zh-CN"/>
              </w:rPr>
              <w:t>考核电量=</w:t>
            </w:r>
          </w:p>
          <w:p w14:paraId="1368D4E8">
            <w:pPr>
              <w:pStyle w:val="102"/>
              <w:spacing w:line="215" w:lineRule="auto"/>
              <w:ind w:left="254"/>
              <w:rPr>
                <w:rFonts w:hint="eastAsia" w:ascii="宋体" w:hAnsi="宋体" w:eastAsia="宋体" w:cs="宋体"/>
                <w:sz w:val="28"/>
                <w:szCs w:val="28"/>
                <w:lang w:eastAsia="zh-CN"/>
              </w:rPr>
            </w:pPr>
            <w:r>
              <w:rPr>
                <w:rFonts w:hint="eastAsia" w:ascii="宋体" w:hAnsi="宋体" w:eastAsia="宋体" w:cs="宋体"/>
                <w:spacing w:val="5"/>
                <w:sz w:val="28"/>
                <w:szCs w:val="28"/>
                <w:lang w:eastAsia="zh-CN"/>
              </w:rPr>
              <w:t>实际电量-申报电量|</w:t>
            </w:r>
          </w:p>
          <w:p w14:paraId="5D768B7E">
            <w:pPr>
              <w:pStyle w:val="102"/>
              <w:spacing w:before="81" w:line="210" w:lineRule="auto"/>
              <w:ind w:left="675"/>
              <w:rPr>
                <w:rFonts w:hint="eastAsia" w:ascii="宋体" w:hAnsi="宋体" w:eastAsia="宋体" w:cs="宋体"/>
                <w:sz w:val="28"/>
                <w:szCs w:val="28"/>
              </w:rPr>
            </w:pPr>
            <w:r>
              <w:rPr>
                <w:rFonts w:hint="eastAsia" w:ascii="宋体" w:hAnsi="宋体" w:eastAsia="宋体" w:cs="宋体"/>
                <w:spacing w:val="-2"/>
                <w:sz w:val="28"/>
                <w:szCs w:val="28"/>
              </w:rPr>
              <w:t>-申报电量*B</w:t>
            </w:r>
          </w:p>
        </w:tc>
        <w:tc>
          <w:tcPr>
            <w:tcW w:w="3176" w:type="dxa"/>
            <w:gridSpan w:val="3"/>
            <w:noWrap w:val="0"/>
            <w:vAlign w:val="top"/>
          </w:tcPr>
          <w:p w14:paraId="6762AD77">
            <w:pPr>
              <w:pStyle w:val="102"/>
              <w:spacing w:before="216" w:line="233" w:lineRule="auto"/>
              <w:ind w:left="1341" w:right="122" w:hanging="1199"/>
              <w:rPr>
                <w:rFonts w:hint="eastAsia" w:ascii="宋体" w:hAnsi="宋体" w:eastAsia="宋体" w:cs="宋体"/>
                <w:sz w:val="28"/>
                <w:szCs w:val="28"/>
                <w:lang w:eastAsia="zh-CN"/>
              </w:rPr>
            </w:pPr>
            <w:r>
              <w:rPr>
                <w:rFonts w:hint="eastAsia" w:ascii="宋体" w:hAnsi="宋体" w:eastAsia="宋体" w:cs="宋体"/>
                <w:spacing w:val="1"/>
                <w:sz w:val="28"/>
                <w:szCs w:val="28"/>
                <w:lang w:eastAsia="zh-CN"/>
              </w:rPr>
              <w:t>对甲方偏差电量单独按规则</w:t>
            </w:r>
            <w:r>
              <w:rPr>
                <w:rFonts w:hint="eastAsia" w:ascii="宋体" w:hAnsi="宋体" w:eastAsia="宋体" w:cs="宋体"/>
                <w:spacing w:val="8"/>
                <w:sz w:val="28"/>
                <w:szCs w:val="28"/>
                <w:lang w:eastAsia="zh-CN"/>
              </w:rPr>
              <w:t xml:space="preserve"> </w:t>
            </w:r>
            <w:r>
              <w:rPr>
                <w:rFonts w:hint="eastAsia" w:ascii="宋体" w:hAnsi="宋体" w:eastAsia="宋体" w:cs="宋体"/>
                <w:spacing w:val="7"/>
                <w:sz w:val="28"/>
                <w:szCs w:val="28"/>
                <w:lang w:eastAsia="zh-CN"/>
              </w:rPr>
              <w:t>考核</w:t>
            </w:r>
          </w:p>
        </w:tc>
        <w:tc>
          <w:tcPr>
            <w:tcW w:w="3672" w:type="dxa"/>
            <w:noWrap w:val="0"/>
            <w:vAlign w:val="top"/>
          </w:tcPr>
          <w:p w14:paraId="024FAE77">
            <w:pPr>
              <w:spacing w:line="307" w:lineRule="auto"/>
              <w:rPr>
                <w:rFonts w:hint="eastAsia" w:ascii="宋体" w:hAnsi="宋体" w:eastAsia="宋体" w:cs="宋体"/>
                <w:sz w:val="28"/>
                <w:szCs w:val="28"/>
              </w:rPr>
            </w:pPr>
          </w:p>
          <w:p w14:paraId="5C178817">
            <w:pPr>
              <w:pStyle w:val="102"/>
              <w:spacing w:before="78" w:line="219" w:lineRule="auto"/>
              <w:ind w:left="585"/>
              <w:rPr>
                <w:rFonts w:hint="eastAsia" w:ascii="宋体" w:hAnsi="宋体" w:eastAsia="宋体" w:cs="宋体"/>
                <w:sz w:val="28"/>
                <w:szCs w:val="28"/>
              </w:rPr>
            </w:pPr>
            <w:r>
              <w:rPr>
                <w:rFonts w:hint="eastAsia" w:ascii="宋体" w:hAnsi="宋体" w:eastAsia="宋体" w:cs="宋体"/>
                <w:spacing w:val="-15"/>
                <w:sz w:val="28"/>
                <w:szCs w:val="28"/>
              </w:rPr>
              <w:t>0</w:t>
            </w:r>
            <w:r>
              <w:rPr>
                <w:rFonts w:hint="eastAsia" w:ascii="宋体" w:hAnsi="宋体" w:eastAsia="宋体" w:cs="宋体"/>
                <w:spacing w:val="27"/>
                <w:sz w:val="28"/>
                <w:szCs w:val="28"/>
              </w:rPr>
              <w:t xml:space="preserve">  </w:t>
            </w:r>
            <w:r>
              <w:rPr>
                <w:rFonts w:hint="eastAsia" w:ascii="宋体" w:hAnsi="宋体" w:eastAsia="宋体" w:cs="宋体"/>
                <w:spacing w:val="-15"/>
                <w:sz w:val="28"/>
                <w:szCs w:val="28"/>
              </w:rPr>
              <w:t>%</w:t>
            </w:r>
            <w:r>
              <w:rPr>
                <w:rFonts w:hint="eastAsia" w:ascii="宋体" w:hAnsi="宋体" w:eastAsia="宋体" w:cs="宋体"/>
                <w:spacing w:val="18"/>
                <w:sz w:val="28"/>
                <w:szCs w:val="28"/>
              </w:rPr>
              <w:t xml:space="preserve"> </w:t>
            </w:r>
            <w:r>
              <w:rPr>
                <w:rFonts w:hint="eastAsia" w:ascii="宋体" w:hAnsi="宋体" w:eastAsia="宋体" w:cs="宋体"/>
                <w:spacing w:val="-15"/>
                <w:sz w:val="28"/>
                <w:szCs w:val="28"/>
              </w:rPr>
              <w:t>(</w:t>
            </w:r>
            <w:r>
              <w:rPr>
                <w:rFonts w:hint="eastAsia" w:ascii="宋体" w:hAnsi="宋体" w:eastAsia="宋体" w:cs="宋体"/>
                <w:spacing w:val="-17"/>
                <w:sz w:val="28"/>
                <w:szCs w:val="28"/>
              </w:rPr>
              <w:t xml:space="preserve"> </w:t>
            </w:r>
            <w:r>
              <w:rPr>
                <w:rFonts w:hint="eastAsia" w:ascii="宋体" w:hAnsi="宋体" w:eastAsia="宋体" w:cs="宋体"/>
                <w:spacing w:val="-15"/>
                <w:sz w:val="28"/>
                <w:szCs w:val="28"/>
              </w:rPr>
              <w:t>百</w:t>
            </w:r>
            <w:r>
              <w:rPr>
                <w:rFonts w:hint="eastAsia" w:ascii="宋体" w:hAnsi="宋体" w:eastAsia="宋体" w:cs="宋体"/>
                <w:spacing w:val="-22"/>
                <w:sz w:val="28"/>
                <w:szCs w:val="28"/>
              </w:rPr>
              <w:t xml:space="preserve"> </w:t>
            </w:r>
            <w:r>
              <w:rPr>
                <w:rFonts w:hint="eastAsia" w:ascii="宋体" w:hAnsi="宋体" w:eastAsia="宋体" w:cs="宋体"/>
                <w:spacing w:val="-15"/>
                <w:sz w:val="28"/>
                <w:szCs w:val="28"/>
              </w:rPr>
              <w:t>分</w:t>
            </w:r>
            <w:r>
              <w:rPr>
                <w:rFonts w:hint="eastAsia" w:ascii="宋体" w:hAnsi="宋体" w:eastAsia="宋体" w:cs="宋体"/>
                <w:spacing w:val="-23"/>
                <w:sz w:val="28"/>
                <w:szCs w:val="28"/>
              </w:rPr>
              <w:t xml:space="preserve"> </w:t>
            </w:r>
            <w:r>
              <w:rPr>
                <w:rFonts w:hint="eastAsia" w:ascii="宋体" w:hAnsi="宋体" w:eastAsia="宋体" w:cs="宋体"/>
                <w:spacing w:val="-15"/>
                <w:sz w:val="28"/>
                <w:szCs w:val="28"/>
              </w:rPr>
              <w:t>之</w:t>
            </w:r>
            <w:r>
              <w:rPr>
                <w:rFonts w:hint="eastAsia" w:ascii="宋体" w:hAnsi="宋体" w:eastAsia="宋体" w:cs="宋体"/>
                <w:spacing w:val="-24"/>
                <w:sz w:val="28"/>
                <w:szCs w:val="28"/>
              </w:rPr>
              <w:t xml:space="preserve"> </w:t>
            </w:r>
            <w:r>
              <w:rPr>
                <w:rFonts w:hint="eastAsia" w:ascii="宋体" w:hAnsi="宋体" w:eastAsia="宋体" w:cs="宋体"/>
                <w:spacing w:val="-15"/>
                <w:sz w:val="28"/>
                <w:szCs w:val="28"/>
              </w:rPr>
              <w:t>零</w:t>
            </w:r>
            <w:r>
              <w:rPr>
                <w:rFonts w:hint="eastAsia" w:ascii="宋体" w:hAnsi="宋体" w:eastAsia="宋体" w:cs="宋体"/>
                <w:spacing w:val="-25"/>
                <w:sz w:val="28"/>
                <w:szCs w:val="28"/>
              </w:rPr>
              <w:t xml:space="preserve"> </w:t>
            </w:r>
            <w:r>
              <w:rPr>
                <w:rFonts w:hint="eastAsia" w:ascii="宋体" w:hAnsi="宋体" w:eastAsia="宋体" w:cs="宋体"/>
                <w:spacing w:val="-15"/>
                <w:sz w:val="28"/>
                <w:szCs w:val="28"/>
              </w:rPr>
              <w:t>)</w:t>
            </w:r>
          </w:p>
        </w:tc>
      </w:tr>
      <w:tr w14:paraId="02736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3" w:hRule="atLeast"/>
        </w:trPr>
        <w:tc>
          <w:tcPr>
            <w:tcW w:w="9531" w:type="dxa"/>
            <w:gridSpan w:val="6"/>
            <w:noWrap w:val="0"/>
            <w:vAlign w:val="top"/>
          </w:tcPr>
          <w:p w14:paraId="5B0B2EF5">
            <w:pPr>
              <w:pStyle w:val="102"/>
              <w:spacing w:before="179" w:line="214" w:lineRule="auto"/>
              <w:ind w:left="75"/>
              <w:rPr>
                <w:rFonts w:hint="eastAsia" w:ascii="宋体" w:hAnsi="宋体" w:eastAsia="宋体" w:cs="宋体"/>
                <w:sz w:val="28"/>
                <w:szCs w:val="28"/>
                <w:lang w:eastAsia="zh-CN"/>
              </w:rPr>
            </w:pPr>
            <w:r>
              <w:rPr>
                <w:rFonts w:hint="eastAsia" w:ascii="宋体" w:hAnsi="宋体" w:eastAsia="宋体" w:cs="宋体"/>
                <w:sz w:val="28"/>
                <w:szCs w:val="28"/>
                <w:lang w:eastAsia="zh-CN"/>
              </w:rPr>
              <w:t>备注：</w:t>
            </w:r>
          </w:p>
          <w:p w14:paraId="5B9C68DC">
            <w:pPr>
              <w:pStyle w:val="102"/>
              <w:spacing w:line="219" w:lineRule="auto"/>
              <w:ind w:left="75"/>
              <w:rPr>
                <w:rFonts w:hint="eastAsia" w:ascii="宋体" w:hAnsi="宋体" w:eastAsia="宋体" w:cs="宋体"/>
                <w:sz w:val="28"/>
                <w:szCs w:val="28"/>
                <w:lang w:eastAsia="zh-CN"/>
              </w:rPr>
            </w:pPr>
            <w:r>
              <w:rPr>
                <w:rFonts w:hint="eastAsia" w:ascii="宋体" w:hAnsi="宋体" w:eastAsia="宋体" w:cs="宋体"/>
                <w:spacing w:val="-1"/>
                <w:sz w:val="28"/>
                <w:szCs w:val="28"/>
                <w:lang w:eastAsia="zh-CN"/>
              </w:rPr>
              <w:t>1.考核办法按照交易结算规则执行。</w:t>
            </w:r>
          </w:p>
          <w:p w14:paraId="6373C675">
            <w:pPr>
              <w:pStyle w:val="102"/>
              <w:spacing w:before="13" w:line="219" w:lineRule="auto"/>
              <w:ind w:left="75"/>
              <w:rPr>
                <w:rFonts w:hint="eastAsia" w:ascii="宋体" w:hAnsi="宋体" w:eastAsia="宋体" w:cs="宋体"/>
                <w:sz w:val="28"/>
                <w:szCs w:val="28"/>
                <w:lang w:eastAsia="zh-CN"/>
              </w:rPr>
            </w:pPr>
            <w:r>
              <w:rPr>
                <w:rFonts w:hint="eastAsia" w:ascii="宋体" w:hAnsi="宋体" w:eastAsia="宋体" w:cs="宋体"/>
                <w:sz w:val="28"/>
                <w:szCs w:val="28"/>
                <w:lang w:eastAsia="zh-CN"/>
              </w:rPr>
              <w:t>2.申报电量以甲方在乙方申报系统填报电量为准，不填报默认为0</w:t>
            </w:r>
          </w:p>
        </w:tc>
      </w:tr>
    </w:tbl>
    <w:p w14:paraId="262FF383">
      <w:pPr>
        <w:pStyle w:val="18"/>
        <w:spacing w:before="120" w:line="224" w:lineRule="auto"/>
        <w:rPr>
          <w:rFonts w:hint="eastAsia" w:ascii="宋体" w:hAnsi="宋体" w:eastAsia="宋体" w:cs="宋体"/>
          <w:sz w:val="28"/>
          <w:szCs w:val="28"/>
        </w:rPr>
      </w:pPr>
      <w:r>
        <w:rPr>
          <w:rFonts w:hint="eastAsia" w:ascii="宋体" w:hAnsi="宋体" w:eastAsia="宋体" w:cs="宋体"/>
          <w:spacing w:val="-17"/>
          <w:sz w:val="28"/>
          <w:szCs w:val="28"/>
        </w:rPr>
        <w:t>注：</w:t>
      </w:r>
    </w:p>
    <w:p w14:paraId="79E2B325">
      <w:pPr>
        <w:ind w:firstLine="508" w:firstLineChars="200"/>
        <w:rPr>
          <w:rFonts w:hint="eastAsia" w:ascii="宋体" w:hAnsi="宋体" w:eastAsia="宋体" w:cs="宋体"/>
          <w:sz w:val="28"/>
          <w:szCs w:val="28"/>
        </w:rPr>
      </w:pPr>
      <w:r>
        <w:rPr>
          <w:rFonts w:hint="eastAsia" w:ascii="宋体" w:hAnsi="宋体" w:eastAsia="宋体" w:cs="宋体"/>
          <w:spacing w:val="-13"/>
          <w:sz w:val="28"/>
          <w:szCs w:val="28"/>
        </w:rPr>
        <w:t>1.</w:t>
      </w:r>
      <w:r>
        <w:rPr>
          <w:rFonts w:hint="eastAsia" w:ascii="宋体" w:hAnsi="宋体" w:eastAsia="宋体" w:cs="宋体"/>
          <w:spacing w:val="42"/>
          <w:sz w:val="28"/>
          <w:szCs w:val="28"/>
        </w:rPr>
        <w:t xml:space="preserve"> </w:t>
      </w:r>
      <w:r>
        <w:rPr>
          <w:rFonts w:hint="eastAsia" w:ascii="宋体" w:hAnsi="宋体" w:eastAsia="宋体" w:cs="宋体"/>
          <w:spacing w:val="-13"/>
          <w:sz w:val="28"/>
          <w:szCs w:val="28"/>
        </w:rPr>
        <w:t>所有报价均用人民币表示，所报价格是交货地的验收价格，运输、安装、税金</w:t>
      </w:r>
      <w:r>
        <w:rPr>
          <w:rFonts w:hint="eastAsia" w:ascii="宋体" w:hAnsi="宋体" w:eastAsia="宋体" w:cs="宋体"/>
          <w:sz w:val="28"/>
          <w:szCs w:val="28"/>
        </w:rPr>
        <w:t xml:space="preserve">  </w:t>
      </w:r>
      <w:r>
        <w:rPr>
          <w:rFonts w:hint="eastAsia" w:ascii="宋体" w:hAnsi="宋体" w:eastAsia="宋体" w:cs="宋体"/>
          <w:spacing w:val="-11"/>
          <w:sz w:val="28"/>
          <w:szCs w:val="28"/>
        </w:rPr>
        <w:t>和保险、专家评审费等相关费用以及采购要求的其他费用均应包含在报价中。</w:t>
      </w:r>
    </w:p>
    <w:p w14:paraId="73B9AA22">
      <w:pPr>
        <w:ind w:firstLine="508" w:firstLineChars="200"/>
        <w:rPr>
          <w:rFonts w:hint="eastAsia" w:ascii="宋体" w:hAnsi="宋体" w:eastAsia="宋体" w:cs="宋体"/>
          <w:spacing w:val="-13"/>
          <w:sz w:val="28"/>
          <w:szCs w:val="28"/>
        </w:rPr>
      </w:pPr>
      <w:r>
        <w:rPr>
          <w:rFonts w:hint="eastAsia" w:ascii="宋体" w:hAnsi="宋体" w:eastAsia="宋体" w:cs="宋体"/>
          <w:spacing w:val="-13"/>
          <w:sz w:val="28"/>
          <w:szCs w:val="28"/>
        </w:rPr>
        <w:t>2. 小写金额与大写金额不一致的以大写金额为准。</w:t>
      </w:r>
    </w:p>
    <w:p w14:paraId="08E309E4">
      <w:pPr>
        <w:ind w:firstLine="516" w:firstLineChars="200"/>
        <w:rPr>
          <w:rFonts w:hint="eastAsia" w:ascii="宋体" w:hAnsi="宋体" w:eastAsia="宋体" w:cs="宋体"/>
          <w:spacing w:val="-11"/>
          <w:sz w:val="28"/>
          <w:szCs w:val="28"/>
        </w:rPr>
      </w:pPr>
      <w:r>
        <w:rPr>
          <w:rFonts w:hint="eastAsia" w:ascii="宋体" w:hAnsi="宋体" w:eastAsia="宋体" w:cs="宋体"/>
          <w:spacing w:val="-11"/>
          <w:sz w:val="28"/>
          <w:szCs w:val="28"/>
        </w:rPr>
        <w:t>3. 电价保留小数点后</w:t>
      </w:r>
      <w:r>
        <w:rPr>
          <w:rFonts w:hint="eastAsia" w:ascii="宋体" w:hAnsi="宋体" w:eastAsia="宋体" w:cs="宋体"/>
          <w:spacing w:val="-11"/>
          <w:sz w:val="28"/>
          <w:szCs w:val="28"/>
          <w:lang w:val="en-US" w:eastAsia="zh-CN"/>
        </w:rPr>
        <w:t>2</w:t>
      </w:r>
      <w:r>
        <w:rPr>
          <w:rFonts w:hint="eastAsia" w:ascii="宋体" w:hAnsi="宋体" w:eastAsia="宋体" w:cs="宋体"/>
          <w:spacing w:val="-11"/>
          <w:sz w:val="28"/>
          <w:szCs w:val="28"/>
        </w:rPr>
        <w:t>位。</w:t>
      </w:r>
    </w:p>
    <w:p w14:paraId="016ACB5F">
      <w:pPr>
        <w:rPr>
          <w:rFonts w:hint="eastAsia" w:ascii="宋体" w:hAnsi="宋体" w:eastAsia="宋体" w:cs="宋体"/>
          <w:sz w:val="28"/>
          <w:szCs w:val="28"/>
        </w:rPr>
      </w:pPr>
    </w:p>
    <w:p w14:paraId="0F1E33A2">
      <w:pPr>
        <w:rPr>
          <w:rFonts w:hint="eastAsia" w:ascii="宋体" w:hAnsi="宋体" w:eastAsia="宋体" w:cs="宋体"/>
          <w:snapToGrid w:val="0"/>
          <w:color w:val="000000"/>
          <w:kern w:val="0"/>
          <w:sz w:val="28"/>
          <w:szCs w:val="28"/>
        </w:rPr>
      </w:pPr>
      <w:r>
        <w:rPr>
          <w:rFonts w:hint="eastAsia" w:ascii="宋体" w:hAnsi="宋体" w:eastAsia="宋体" w:cs="宋体"/>
          <w:snapToGrid w:val="0"/>
          <w:color w:val="000000"/>
          <w:kern w:val="0"/>
          <w:sz w:val="28"/>
          <w:szCs w:val="28"/>
        </w:rPr>
        <w:t>服务商名称： (公章)</w:t>
      </w:r>
    </w:p>
    <w:p w14:paraId="247C4264">
      <w:pPr>
        <w:rPr>
          <w:rFonts w:hint="eastAsia" w:ascii="宋体" w:hAnsi="宋体" w:eastAsia="宋体" w:cs="宋体"/>
          <w:snapToGrid w:val="0"/>
          <w:color w:val="000000"/>
          <w:kern w:val="0"/>
          <w:sz w:val="28"/>
          <w:szCs w:val="28"/>
        </w:rPr>
      </w:pPr>
      <w:r>
        <w:rPr>
          <w:rFonts w:hint="eastAsia" w:ascii="宋体" w:hAnsi="宋体" w:eastAsia="宋体" w:cs="宋体"/>
          <w:snapToGrid w:val="0"/>
          <w:color w:val="000000"/>
          <w:kern w:val="0"/>
          <w:sz w:val="28"/>
          <w:szCs w:val="28"/>
        </w:rPr>
        <w:t xml:space="preserve">法定代表人/单位负责人或授权代表(签字或加盖个人印章): </w:t>
      </w:r>
    </w:p>
    <w:p w14:paraId="7DC885F1">
      <w:pPr>
        <w:rPr>
          <w:rFonts w:hint="eastAsia" w:ascii="宋体" w:hAnsi="宋体" w:eastAsia="宋体" w:cs="宋体"/>
          <w:snapToGrid w:val="0"/>
          <w:color w:val="000000"/>
          <w:kern w:val="0"/>
          <w:sz w:val="28"/>
          <w:szCs w:val="28"/>
        </w:rPr>
      </w:pPr>
    </w:p>
    <w:p w14:paraId="278250C7">
      <w:pPr>
        <w:rPr>
          <w:rFonts w:hint="eastAsia" w:ascii="宋体" w:hAnsi="宋体" w:eastAsia="宋体" w:cs="宋体"/>
          <w:snapToGrid w:val="0"/>
          <w:color w:val="000000"/>
          <w:kern w:val="0"/>
          <w:sz w:val="28"/>
          <w:szCs w:val="28"/>
          <w:lang w:eastAsia="en-US"/>
        </w:rPr>
      </w:pPr>
      <w:r>
        <w:rPr>
          <w:rFonts w:hint="eastAsia" w:ascii="宋体" w:hAnsi="宋体" w:eastAsia="宋体" w:cs="宋体"/>
          <w:snapToGrid w:val="0"/>
          <w:color w:val="000000"/>
          <w:kern w:val="0"/>
          <w:sz w:val="28"/>
          <w:szCs w:val="28"/>
          <w:lang w:eastAsia="en-US"/>
        </w:rPr>
        <w:t>日期：</w:t>
      </w:r>
      <w:r>
        <w:rPr>
          <w:rFonts w:hint="eastAsia" w:ascii="宋体" w:hAnsi="宋体" w:eastAsia="宋体" w:cs="宋体"/>
          <w:snapToGrid w:val="0"/>
          <w:color w:val="000000"/>
          <w:kern w:val="0"/>
          <w:sz w:val="28"/>
          <w:szCs w:val="28"/>
        </w:rPr>
        <w:t>20</w:t>
      </w:r>
      <w:r>
        <w:rPr>
          <w:rFonts w:hint="eastAsia" w:ascii="宋体" w:hAnsi="宋体" w:eastAsia="宋体" w:cs="宋体"/>
          <w:snapToGrid w:val="0"/>
          <w:color w:val="000000"/>
          <w:kern w:val="0"/>
          <w:sz w:val="28"/>
          <w:szCs w:val="28"/>
          <w:lang w:val="en-US" w:eastAsia="zh-CN"/>
        </w:rPr>
        <w:t>25</w:t>
      </w:r>
      <w:r>
        <w:rPr>
          <w:rFonts w:hint="eastAsia" w:ascii="宋体" w:hAnsi="宋体" w:eastAsia="宋体" w:cs="宋体"/>
          <w:snapToGrid w:val="0"/>
          <w:color w:val="000000"/>
          <w:kern w:val="0"/>
          <w:sz w:val="28"/>
          <w:szCs w:val="28"/>
          <w:lang w:eastAsia="en-US"/>
        </w:rPr>
        <w:t xml:space="preserve"> 年</w:t>
      </w:r>
      <w:r>
        <w:rPr>
          <w:rFonts w:hint="eastAsia" w:ascii="宋体" w:hAnsi="宋体" w:eastAsia="宋体" w:cs="宋体"/>
          <w:snapToGrid w:val="0"/>
          <w:color w:val="000000"/>
          <w:kern w:val="0"/>
          <w:sz w:val="28"/>
          <w:szCs w:val="28"/>
          <w:lang w:val="en-US" w:eastAsia="zh-CN"/>
        </w:rPr>
        <w:t xml:space="preserve">  </w:t>
      </w:r>
      <w:r>
        <w:rPr>
          <w:rFonts w:hint="eastAsia" w:ascii="宋体" w:hAnsi="宋体" w:eastAsia="宋体" w:cs="宋体"/>
          <w:snapToGrid w:val="0"/>
          <w:color w:val="000000"/>
          <w:kern w:val="0"/>
          <w:sz w:val="28"/>
          <w:szCs w:val="28"/>
        </w:rPr>
        <w:t xml:space="preserve">  </w:t>
      </w:r>
      <w:r>
        <w:rPr>
          <w:rFonts w:hint="eastAsia" w:ascii="宋体" w:hAnsi="宋体" w:eastAsia="宋体" w:cs="宋体"/>
          <w:snapToGrid w:val="0"/>
          <w:color w:val="000000"/>
          <w:kern w:val="0"/>
          <w:sz w:val="28"/>
          <w:szCs w:val="28"/>
          <w:lang w:eastAsia="en-US"/>
        </w:rPr>
        <w:t>月</w:t>
      </w:r>
    </w:p>
    <w:p w14:paraId="2E2749EF">
      <w:pPr>
        <w:rPr>
          <w:rFonts w:hint="eastAsia" w:ascii="宋体" w:hAnsi="宋体" w:eastAsia="宋体" w:cs="宋体"/>
          <w:snapToGrid w:val="0"/>
          <w:color w:val="000000"/>
          <w:kern w:val="0"/>
          <w:sz w:val="28"/>
          <w:szCs w:val="28"/>
          <w:lang w:eastAsia="en-US"/>
        </w:rPr>
      </w:pPr>
    </w:p>
    <w:p w14:paraId="4160A12D">
      <w:pPr>
        <w:rPr>
          <w:rFonts w:hint="eastAsia" w:ascii="宋体" w:hAnsi="宋体" w:eastAsia="宋体" w:cs="宋体"/>
          <w:snapToGrid w:val="0"/>
          <w:color w:val="000000"/>
          <w:kern w:val="0"/>
          <w:sz w:val="28"/>
          <w:szCs w:val="28"/>
          <w:lang w:val="en-US" w:eastAsia="zh-CN"/>
        </w:rPr>
      </w:pPr>
      <w:r>
        <w:rPr>
          <w:rFonts w:hint="eastAsia" w:ascii="宋体" w:hAnsi="宋体" w:eastAsia="宋体" w:cs="宋体"/>
          <w:snapToGrid w:val="0"/>
          <w:color w:val="000000"/>
          <w:kern w:val="0"/>
          <w:sz w:val="28"/>
          <w:szCs w:val="28"/>
          <w:lang w:val="en-US" w:eastAsia="zh-CN"/>
        </w:rPr>
        <w:t xml:space="preserve">  注：</w:t>
      </w:r>
    </w:p>
    <w:p w14:paraId="639A8F6C">
      <w:pPr>
        <w:rPr>
          <w:rFonts w:hint="eastAsia" w:ascii="宋体" w:hAnsi="宋体" w:eastAsia="宋体" w:cs="宋体"/>
          <w:snapToGrid w:val="0"/>
          <w:color w:val="000000"/>
          <w:kern w:val="0"/>
          <w:sz w:val="28"/>
          <w:szCs w:val="28"/>
          <w:lang w:val="en-US" w:eastAsia="zh-CN"/>
        </w:rPr>
      </w:pPr>
    </w:p>
    <w:p w14:paraId="6619656E">
      <w:pPr>
        <w:rPr>
          <w:rFonts w:hint="default" w:ascii="宋体" w:hAnsi="宋体" w:eastAsia="宋体" w:cs="宋体"/>
          <w:snapToGrid w:val="0"/>
          <w:color w:val="000000"/>
          <w:kern w:val="0"/>
          <w:sz w:val="28"/>
          <w:szCs w:val="28"/>
          <w:lang w:val="en-US" w:eastAsia="zh-CN"/>
        </w:rPr>
      </w:pPr>
      <w:r>
        <w:drawing>
          <wp:inline distT="0" distB="0" distL="114300" distR="114300">
            <wp:extent cx="5600700" cy="451485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4"/>
                    <a:stretch>
                      <a:fillRect/>
                    </a:stretch>
                  </pic:blipFill>
                  <pic:spPr>
                    <a:xfrm>
                      <a:off x="0" y="0"/>
                      <a:ext cx="5600700" cy="4514850"/>
                    </a:xfrm>
                    <a:prstGeom prst="rect">
                      <a:avLst/>
                    </a:prstGeom>
                    <a:noFill/>
                    <a:ln>
                      <a:noFill/>
                    </a:ln>
                  </pic:spPr>
                </pic:pic>
              </a:graphicData>
            </a:graphic>
          </wp:inline>
        </w:drawing>
      </w:r>
    </w:p>
    <w:sectPr>
      <w:footerReference r:id="rId12" w:type="first"/>
      <w:footerReference r:id="rId11" w:type="default"/>
      <w:pgSz w:w="11907" w:h="16840"/>
      <w:pgMar w:top="1417" w:right="1134" w:bottom="1417" w:left="1134" w:header="851" w:footer="85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538A1">
    <w:pPr>
      <w:pStyle w:val="29"/>
      <w:ind w:firstLine="3600" w:firstLineChars="200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C283834">
                          <w:pPr>
                            <w:pStyle w:val="29"/>
                          </w:pPr>
                          <w:r>
                            <w:fldChar w:fldCharType="begin"/>
                          </w:r>
                          <w:r>
                            <w:instrText xml:space="preserve"> PAGE  \* MERGEFORMAT </w:instrText>
                          </w:r>
                          <w:r>
                            <w:fldChar w:fldCharType="separate"/>
                          </w:r>
                          <w:r>
                            <w:rPr>
                              <w:lang/>
                            </w:rPr>
                            <w:t>2</w:t>
                          </w:r>
                          <w:r>
                            <w:fldChar w:fldCharType="end"/>
                          </w:r>
                          <w:r>
                            <w:t xml:space="preserve"> / </w:t>
                          </w:r>
                          <w:r>
                            <w:fldChar w:fldCharType="begin"/>
                          </w:r>
                          <w:r>
                            <w:instrText xml:space="preserve"> NUMPAGES  \* MERGEFORMAT </w:instrText>
                          </w:r>
                          <w:r>
                            <w:fldChar w:fldCharType="separate"/>
                          </w:r>
                          <w:r>
                            <w:rPr>
                              <w:lang/>
                            </w:rPr>
                            <w:t>12</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&#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4TjetIBAACjAwAADgAAAAAAAAABACAAAAAi&#10;AQAAZHJzL2Uyb0RvYy54bWxQSwUGAAAAAAYABgBZAQAAZgUAAAAA&#10;">
              <v:fill on="f" focussize="0,0"/>
              <v:stroke on="f" weight="1.25pt"/>
              <v:imagedata o:title=""/>
              <o:lock v:ext="edit" aspectratio="f"/>
              <v:textbox inset="0mm,0mm,0mm,0mm" style="mso-fit-shape-to-text:t;">
                <w:txbxContent>
                  <w:p w14:paraId="1C283834">
                    <w:pPr>
                      <w:pStyle w:val="29"/>
                    </w:pPr>
                    <w:r>
                      <w:fldChar w:fldCharType="begin"/>
                    </w:r>
                    <w:r>
                      <w:instrText xml:space="preserve"> PAGE  \* MERGEFORMAT </w:instrText>
                    </w:r>
                    <w:r>
                      <w:fldChar w:fldCharType="separate"/>
                    </w:r>
                    <w:r>
                      <w:rPr>
                        <w:lang/>
                      </w:rPr>
                      <w:t>2</w:t>
                    </w:r>
                    <w:r>
                      <w:fldChar w:fldCharType="end"/>
                    </w:r>
                    <w:r>
                      <w:t xml:space="preserve"> / </w:t>
                    </w:r>
                    <w:r>
                      <w:fldChar w:fldCharType="begin"/>
                    </w:r>
                    <w:r>
                      <w:instrText xml:space="preserve"> NUMPAGES  \* MERGEFORMAT </w:instrText>
                    </w:r>
                    <w:r>
                      <w:fldChar w:fldCharType="separate"/>
                    </w:r>
                    <w:r>
                      <w:rPr>
                        <w:lang/>
                      </w:rPr>
                      <w:t>12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1E345">
    <w:pPr>
      <w:pStyle w:val="29"/>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0B2811B8">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B0C72">
    <w:pPr>
      <w:pStyle w:val="29"/>
      <w:ind w:firstLine="3600" w:firstLineChars="200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27725AE">
                          <w:pPr>
                            <w:pStyle w:val="29"/>
                          </w:pPr>
                          <w:r>
                            <w:fldChar w:fldCharType="begin"/>
                          </w:r>
                          <w:r>
                            <w:instrText xml:space="preserve"> PAGE  \* MERGEFORMAT </w:instrText>
                          </w:r>
                          <w:r>
                            <w:fldChar w:fldCharType="separate"/>
                          </w:r>
                          <w:r>
                            <w:rPr>
                              <w:lang/>
                            </w:rPr>
                            <w:t>1</w:t>
                          </w:r>
                          <w:r>
                            <w:fldChar w:fldCharType="end"/>
                          </w:r>
                          <w:r>
                            <w:t xml:space="preserve"> / </w:t>
                          </w:r>
                          <w:r>
                            <w:fldChar w:fldCharType="begin"/>
                          </w:r>
                          <w:r>
                            <w:instrText xml:space="preserve"> NUMPAGES  \* MERGEFORMAT </w:instrText>
                          </w:r>
                          <w:r>
                            <w:fldChar w:fldCharType="separate"/>
                          </w:r>
                          <w:r>
                            <w:rPr>
                              <w:lang/>
                            </w:rPr>
                            <w:t>11</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YuwI00QEAAKQDAAAOAAAAAAAAAAEAIAAAACIB&#10;AABkcnMvZTJvRG9jLnhtbFBLBQYAAAAABgAGAFkBAABlBQAAAAA=&#10;">
              <v:fill on="f" focussize="0,0"/>
              <v:stroke on="f" weight="1.25pt"/>
              <v:imagedata o:title=""/>
              <o:lock v:ext="edit" aspectratio="f"/>
              <v:textbox inset="0mm,0mm,0mm,0mm" style="mso-fit-shape-to-text:t;">
                <w:txbxContent>
                  <w:p w14:paraId="627725AE">
                    <w:pPr>
                      <w:pStyle w:val="29"/>
                    </w:pPr>
                    <w:r>
                      <w:fldChar w:fldCharType="begin"/>
                    </w:r>
                    <w:r>
                      <w:instrText xml:space="preserve"> PAGE  \* MERGEFORMAT </w:instrText>
                    </w:r>
                    <w:r>
                      <w:fldChar w:fldCharType="separate"/>
                    </w:r>
                    <w:r>
                      <w:rPr>
                        <w:lang/>
                      </w:rPr>
                      <w:t>1</w:t>
                    </w:r>
                    <w:r>
                      <w:fldChar w:fldCharType="end"/>
                    </w:r>
                    <w:r>
                      <w:t xml:space="preserve"> / </w:t>
                    </w:r>
                    <w:r>
                      <w:fldChar w:fldCharType="begin"/>
                    </w:r>
                    <w:r>
                      <w:instrText xml:space="preserve"> NUMPAGES  \* MERGEFORMAT </w:instrText>
                    </w:r>
                    <w:r>
                      <w:fldChar w:fldCharType="separate"/>
                    </w:r>
                    <w:r>
                      <w:rPr>
                        <w:lang/>
                      </w:rP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7003F">
    <w:pPr>
      <w:pStyle w:val="29"/>
      <w:ind w:firstLine="3600" w:firstLineChars="2000"/>
    </w:pPr>
    <w:r>
      <mc:AlternateContent>
        <mc:Choice Requires="wps">
          <w:drawing>
            <wp:anchor distT="0" distB="0" distL="114300" distR="114300" simplePos="0" relativeHeight="251661312" behindDoc="0" locked="0" layoutInCell="1" allowOverlap="1">
              <wp:simplePos x="0" y="0"/>
              <wp:positionH relativeFrom="margin">
                <wp:posOffset>2569845</wp:posOffset>
              </wp:positionH>
              <wp:positionV relativeFrom="paragraph">
                <wp:posOffset>-18415</wp:posOffset>
              </wp:positionV>
              <wp:extent cx="374015" cy="14986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374015" cy="149860"/>
                      </a:xfrm>
                      <a:prstGeom prst="rect">
                        <a:avLst/>
                      </a:prstGeom>
                      <a:noFill/>
                      <a:ln w="15875">
                        <a:noFill/>
                      </a:ln>
                    </wps:spPr>
                    <wps:txbx>
                      <w:txbxContent>
                        <w:p w14:paraId="620CB4FC">
                          <w:pPr>
                            <w:pStyle w:val="29"/>
                          </w:pPr>
                          <w:r>
                            <w:fldChar w:fldCharType="begin"/>
                          </w:r>
                          <w:r>
                            <w:instrText xml:space="preserve"> PAGE  \* MERGEFORMAT </w:instrText>
                          </w:r>
                          <w:r>
                            <w:fldChar w:fldCharType="separate"/>
                          </w:r>
                          <w:r>
                            <w:rPr>
                              <w:lang/>
                            </w:rPr>
                            <w:t>5</w:t>
                          </w:r>
                          <w:r>
                            <w:fldChar w:fldCharType="end"/>
                          </w:r>
                          <w:r>
                            <w:t xml:space="preserve"> / </w:t>
                          </w:r>
                          <w:r>
                            <w:fldChar w:fldCharType="begin"/>
                          </w:r>
                          <w:r>
                            <w:instrText xml:space="preserve"> NUMPAGES  \* MERGEFORMAT </w:instrText>
                          </w:r>
                          <w:r>
                            <w:fldChar w:fldCharType="separate"/>
                          </w:r>
                          <w:r>
                            <w:rPr>
                              <w:lang/>
                            </w:rPr>
                            <w:t>11</w:t>
                          </w:r>
                          <w:r>
                            <w:fldChar w:fldCharType="end"/>
                          </w:r>
                        </w:p>
                      </w:txbxContent>
                    </wps:txbx>
                    <wps:bodyPr wrap="square" lIns="0" tIns="0" rIns="0" bIns="0" upright="0"/>
                  </wps:wsp>
                </a:graphicData>
              </a:graphic>
            </wp:anchor>
          </w:drawing>
        </mc:Choice>
        <mc:Fallback>
          <w:pict>
            <v:shape id="文本框 11" o:spid="_x0000_s1026" o:spt="202" type="#_x0000_t202" style="position:absolute;left:0pt;margin-left:202.35pt;margin-top:-1.45pt;height:11.8pt;width:29.45pt;mso-position-horizontal-relative:margin;z-index:251661312;mso-width-relative:page;mso-height-relative:page;" filled="f" stroked="f" coordsize="21600,21600" o:gfxdata="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jcMIQ2QAAAAkBAAAPAAAAAAAAAAEAIAAAACIA&#10;AABkcnMvZG93bnJldi54bWxQSwECFAAUAAAACACHTuJAidoSr88BAACKAwAADgAAAAAAAAABACAA&#10;AAAoAQAAZHJzL2Uyb0RvYy54bWxQSwUGAAAAAAYABgBZAQAAaQUAAAAA&#10;">
              <v:fill on="f" focussize="0,0"/>
              <v:stroke on="f" weight="1.25pt"/>
              <v:imagedata o:title=""/>
              <o:lock v:ext="edit" aspectratio="f"/>
              <v:textbox inset="0mm,0mm,0mm,0mm">
                <w:txbxContent>
                  <w:p w14:paraId="620CB4FC">
                    <w:pPr>
                      <w:pStyle w:val="29"/>
                    </w:pPr>
                    <w:r>
                      <w:fldChar w:fldCharType="begin"/>
                    </w:r>
                    <w:r>
                      <w:instrText xml:space="preserve"> PAGE  \* MERGEFORMAT </w:instrText>
                    </w:r>
                    <w:r>
                      <w:fldChar w:fldCharType="separate"/>
                    </w:r>
                    <w:r>
                      <w:rPr>
                        <w:lang/>
                      </w:rPr>
                      <w:t>5</w:t>
                    </w:r>
                    <w:r>
                      <w:fldChar w:fldCharType="end"/>
                    </w:r>
                    <w:r>
                      <w:t xml:space="preserve"> / </w:t>
                    </w:r>
                    <w:r>
                      <w:fldChar w:fldCharType="begin"/>
                    </w:r>
                    <w:r>
                      <w:instrText xml:space="preserve"> NUMPAGES  \* MERGEFORMAT </w:instrText>
                    </w:r>
                    <w:r>
                      <w:fldChar w:fldCharType="separate"/>
                    </w:r>
                    <w:r>
                      <w:rPr>
                        <w:lang/>
                      </w:rP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3B688">
    <w:pPr>
      <w:pStyle w:val="29"/>
      <w:ind w:firstLine="3600" w:firstLineChars="2000"/>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368A692">
                          <w:pPr>
                            <w:pStyle w:val="29"/>
                          </w:pPr>
                          <w:r>
                            <w:fldChar w:fldCharType="begin"/>
                          </w:r>
                          <w:r>
                            <w:instrText xml:space="preserve"> PAGE  \* MERGEFORMAT </w:instrText>
                          </w:r>
                          <w:r>
                            <w:fldChar w:fldCharType="separate"/>
                          </w:r>
                          <w:r>
                            <w:rPr>
                              <w:lang/>
                            </w:rPr>
                            <w:t>3</w:t>
                          </w:r>
                          <w:r>
                            <w:fldChar w:fldCharType="end"/>
                          </w:r>
                          <w:r>
                            <w:t xml:space="preserve"> / </w:t>
                          </w:r>
                          <w:r>
                            <w:fldChar w:fldCharType="begin"/>
                          </w:r>
                          <w:r>
                            <w:instrText xml:space="preserve"> NUMPAGES  \* MERGEFORMAT </w:instrText>
                          </w:r>
                          <w:r>
                            <w:fldChar w:fldCharType="separate"/>
                          </w:r>
                          <w:r>
                            <w:rPr>
                              <w:lang/>
                            </w:rPr>
                            <w:t>11</w:t>
                          </w:r>
                          <w: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ZfcX/SAQAApAMAAA4AAABkcnMvZTJvRG9jLnhtbK1TzY7TMBC+&#10;I/EOlu80aVE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dU2KZwYFffv64/Ppz&#10;+f2dLF8nfXoPNabde0yMwzs34NbM94CXifYgg0lfJEQwjuqer+qKIRKeHlWrqioxxDE2O4hfPDz3&#10;AeJ74QxJRkMDji+ryk4fIY6pc0qqZt2d0jqPUFvSI+q6ervOL64hRNcWiyQWY7fJisN+mKjtXXtG&#10;Zj3uQEMtrjwl+oNFidO6zEaYjf1sHH1Qhy7vU2oF/O0xYju5y1RhhJ0K4/Ayz2nR0nb86+esh59r&#10;+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l9xf9IBAACkAwAADgAAAAAAAAABACAAAAAi&#10;AQAAZHJzL2Uyb0RvYy54bWxQSwUGAAAAAAYABgBZAQAAZgUAAAAA&#10;">
              <v:fill on="f" focussize="0,0"/>
              <v:stroke on="f" weight="1.25pt"/>
              <v:imagedata o:title=""/>
              <o:lock v:ext="edit" aspectratio="f"/>
              <v:textbox inset="0mm,0mm,0mm,0mm" style="mso-fit-shape-to-text:t;">
                <w:txbxContent>
                  <w:p w14:paraId="3368A692">
                    <w:pPr>
                      <w:pStyle w:val="29"/>
                    </w:pPr>
                    <w:r>
                      <w:fldChar w:fldCharType="begin"/>
                    </w:r>
                    <w:r>
                      <w:instrText xml:space="preserve"> PAGE  \* MERGEFORMAT </w:instrText>
                    </w:r>
                    <w:r>
                      <w:fldChar w:fldCharType="separate"/>
                    </w:r>
                    <w:r>
                      <w:rPr>
                        <w:lang/>
                      </w:rPr>
                      <w:t>3</w:t>
                    </w:r>
                    <w:r>
                      <w:fldChar w:fldCharType="end"/>
                    </w:r>
                    <w:r>
                      <w:t xml:space="preserve"> / </w:t>
                    </w:r>
                    <w:r>
                      <w:fldChar w:fldCharType="begin"/>
                    </w:r>
                    <w:r>
                      <w:instrText xml:space="preserve"> NUMPAGES  \* MERGEFORMAT </w:instrText>
                    </w:r>
                    <w:r>
                      <w:fldChar w:fldCharType="separate"/>
                    </w:r>
                    <w:r>
                      <w:rPr>
                        <w:lang/>
                      </w:rP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F2A34">
    <w:pPr>
      <w:pStyle w:val="2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57391E2">
                          <w:pPr>
                            <w:pStyle w:val="29"/>
                          </w:pPr>
                          <w:r>
                            <w:fldChar w:fldCharType="begin"/>
                          </w:r>
                          <w:r>
                            <w:instrText xml:space="preserve"> PAGE  \* MERGEFORMAT </w:instrText>
                          </w:r>
                          <w:r>
                            <w:fldChar w:fldCharType="separate"/>
                          </w:r>
                          <w:r>
                            <w:t>12</w:t>
                          </w:r>
                          <w:r>
                            <w:fldChar w:fldCharType="end"/>
                          </w:r>
                          <w:r>
                            <w:t xml:space="preserve"> / </w:t>
                          </w:r>
                          <w:r>
                            <w:fldChar w:fldCharType="begin"/>
                          </w:r>
                          <w:r>
                            <w:instrText xml:space="preserve"> NUMPAGES  \* MERGEFORMAT </w:instrText>
                          </w:r>
                          <w:r>
                            <w:fldChar w:fldCharType="separate"/>
                          </w:r>
                          <w:r>
                            <w:t>82</w:t>
                          </w:r>
                          <w: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&#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APLiiXTAQAApAMAAA4AAAAAAAAAAQAgAAAA&#10;IgEAAGRycy9lMm9Eb2MueG1sUEsFBgAAAAAGAAYAWQEAAGcFAAAAAA==&#10;">
              <v:fill on="f" focussize="0,0"/>
              <v:stroke on="f" weight="1.25pt"/>
              <v:imagedata o:title=""/>
              <o:lock v:ext="edit" aspectratio="f"/>
              <v:textbox inset="0mm,0mm,0mm,0mm" style="mso-fit-shape-to-text:t;">
                <w:txbxContent>
                  <w:p w14:paraId="357391E2">
                    <w:pPr>
                      <w:pStyle w:val="29"/>
                    </w:pPr>
                    <w:r>
                      <w:fldChar w:fldCharType="begin"/>
                    </w:r>
                    <w:r>
                      <w:instrText xml:space="preserve"> PAGE  \* MERGEFORMAT </w:instrText>
                    </w:r>
                    <w:r>
                      <w:fldChar w:fldCharType="separate"/>
                    </w:r>
                    <w:r>
                      <w:t>12</w:t>
                    </w:r>
                    <w:r>
                      <w:fldChar w:fldCharType="end"/>
                    </w:r>
                    <w:r>
                      <w:t xml:space="preserve"> / </w:t>
                    </w:r>
                    <w:r>
                      <w:fldChar w:fldCharType="begin"/>
                    </w:r>
                    <w:r>
                      <w:instrText xml:space="preserve"> NUMPAGES  \* MERGEFORMAT </w:instrText>
                    </w:r>
                    <w:r>
                      <w:fldChar w:fldCharType="separate"/>
                    </w:r>
                    <w:r>
                      <w:t>82</w:t>
                    </w:r>
                    <w:r>
                      <w:fldChar w:fldCharType="end"/>
                    </w:r>
                  </w:p>
                </w:txbxContent>
              </v:textbox>
            </v:shape>
          </w:pict>
        </mc:Fallback>
      </mc:AlternateContent>
    </w:r>
  </w:p>
  <w:p w14:paraId="3BD66DD7">
    <w:pPr>
      <w:pStyle w:val="18"/>
      <w:kinsoku w:val="0"/>
      <w:overflowPunct w:val="0"/>
      <w:spacing w:line="14" w:lineRule="auto"/>
      <w:rPr>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2736A">
    <w:pPr>
      <w:pStyle w:val="29"/>
      <w:ind w:firstLine="3600" w:firstLineChars="2000"/>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4A8A82">
                          <w:pPr>
                            <w:pStyle w:val="29"/>
                          </w:pPr>
                          <w:r>
                            <w:fldChar w:fldCharType="begin"/>
                          </w:r>
                          <w:r>
                            <w:instrText xml:space="preserve"> PAGE  \* MERGEFORMAT </w:instrText>
                          </w:r>
                          <w:r>
                            <w:fldChar w:fldCharType="separate"/>
                          </w:r>
                          <w:r>
                            <w:rPr>
                              <w:lang/>
                            </w:rPr>
                            <w:t>11</w:t>
                          </w:r>
                          <w:r>
                            <w:fldChar w:fldCharType="end"/>
                          </w:r>
                          <w:r>
                            <w:t xml:space="preserve"> / </w:t>
                          </w:r>
                          <w:r>
                            <w:fldChar w:fldCharType="begin"/>
                          </w:r>
                          <w:r>
                            <w:instrText xml:space="preserve"> NUMPAGES  \* MERGEFORMAT </w:instrText>
                          </w:r>
                          <w:r>
                            <w:fldChar w:fldCharType="separate"/>
                          </w:r>
                          <w:r>
                            <w:rPr>
                              <w:lang/>
                            </w:rPr>
                            <w:t>11</w:t>
                          </w:r>
                          <w:r>
                            <w:fldChar w:fldCharType="end"/>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&#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5X0ZxdIBAACkAwAADgAAAAAAAAABACAAAAAi&#10;AQAAZHJzL2Uyb0RvYy54bWxQSwUGAAAAAAYABgBZAQAAZgUAAAAA&#10;">
              <v:fill on="f" focussize="0,0"/>
              <v:stroke on="f" weight="1.25pt"/>
              <v:imagedata o:title=""/>
              <o:lock v:ext="edit" aspectratio="f"/>
              <v:textbox inset="0mm,0mm,0mm,0mm" style="mso-fit-shape-to-text:t;">
                <w:txbxContent>
                  <w:p w14:paraId="424A8A82">
                    <w:pPr>
                      <w:pStyle w:val="29"/>
                    </w:pPr>
                    <w:r>
                      <w:fldChar w:fldCharType="begin"/>
                    </w:r>
                    <w:r>
                      <w:instrText xml:space="preserve"> PAGE  \* MERGEFORMAT </w:instrText>
                    </w:r>
                    <w:r>
                      <w:fldChar w:fldCharType="separate"/>
                    </w:r>
                    <w:r>
                      <w:rPr>
                        <w:lang/>
                      </w:rPr>
                      <w:t>11</w:t>
                    </w:r>
                    <w:r>
                      <w:fldChar w:fldCharType="end"/>
                    </w:r>
                    <w:r>
                      <w:t xml:space="preserve"> / </w:t>
                    </w:r>
                    <w:r>
                      <w:fldChar w:fldCharType="begin"/>
                    </w:r>
                    <w:r>
                      <w:instrText xml:space="preserve"> NUMPAGES  \* MERGEFORMAT </w:instrText>
                    </w:r>
                    <w:r>
                      <w:fldChar w:fldCharType="separate"/>
                    </w:r>
                    <w:r>
                      <w:rPr>
                        <w:lang/>
                      </w:rP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A9061">
    <w:pPr>
      <w:pStyle w:val="30"/>
    </w:pPr>
    <w:r>
      <w:rPr>
        <w:lang/>
      </w:rPr>
      <w:drawing>
        <wp:anchor distT="0" distB="0" distL="114300" distR="114300" simplePos="0" relativeHeight="251666432" behindDoc="0" locked="0" layoutInCell="1" allowOverlap="1">
          <wp:simplePos x="0" y="0"/>
          <wp:positionH relativeFrom="margin">
            <wp:posOffset>5379720</wp:posOffset>
          </wp:positionH>
          <wp:positionV relativeFrom="margin">
            <wp:posOffset>-643255</wp:posOffset>
          </wp:positionV>
          <wp:extent cx="892175" cy="417830"/>
          <wp:effectExtent l="0" t="0" r="3175" b="1270"/>
          <wp:wrapSquare wrapText="bothSides"/>
          <wp:docPr id="9" name="图片 17" descr="212_画板 1_画板 1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7" descr="212_画板 1_画板 1_画板 1"/>
                  <pic:cNvPicPr>
                    <a:picLocks noChangeAspect="1"/>
                  </pic:cNvPicPr>
                </pic:nvPicPr>
                <pic:blipFill>
                  <a:blip r:embed="rId1"/>
                  <a:stretch>
                    <a:fillRect/>
                  </a:stretch>
                </pic:blipFill>
                <pic:spPr>
                  <a:xfrm>
                    <a:off x="0" y="0"/>
                    <a:ext cx="892175" cy="41783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D75A2">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7608E">
    <w:pPr>
      <w:pStyle w:val="30"/>
    </w:pPr>
    <w:r>
      <w:rPr>
        <w:lang/>
      </w:rPr>
      <w:drawing>
        <wp:anchor distT="0" distB="0" distL="114300" distR="114300" simplePos="0" relativeHeight="251665408" behindDoc="0" locked="0" layoutInCell="1" allowOverlap="1">
          <wp:simplePos x="0" y="0"/>
          <wp:positionH relativeFrom="margin">
            <wp:posOffset>5469255</wp:posOffset>
          </wp:positionH>
          <wp:positionV relativeFrom="margin">
            <wp:posOffset>-621665</wp:posOffset>
          </wp:positionV>
          <wp:extent cx="876300" cy="407670"/>
          <wp:effectExtent l="0" t="0" r="0" b="11430"/>
          <wp:wrapSquare wrapText="bothSides"/>
          <wp:docPr id="8" name="图片 16" descr="212_画板 1_画板 1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6" descr="212_画板 1_画板 1_画板 1"/>
                  <pic:cNvPicPr>
                    <a:picLocks noChangeAspect="1"/>
                  </pic:cNvPicPr>
                </pic:nvPicPr>
                <pic:blipFill>
                  <a:blip r:embed="rId1"/>
                  <a:stretch>
                    <a:fillRect/>
                  </a:stretch>
                </pic:blipFill>
                <pic:spPr>
                  <a:xfrm>
                    <a:off x="0" y="0"/>
                    <a:ext cx="876300" cy="40767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83"/>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B"/>
    <w:multiLevelType w:val="multilevel"/>
    <w:tmpl w:val="0000000B"/>
    <w:lvl w:ilvl="0" w:tentative="0">
      <w:start w:val="1"/>
      <w:numFmt w:val="decimal"/>
      <w:pStyle w:val="2"/>
      <w:lvlText w:val="%1"/>
      <w:lvlJc w:val="left"/>
      <w:pPr>
        <w:tabs>
          <w:tab w:val="left" w:pos="4032"/>
        </w:tabs>
        <w:ind w:left="4032" w:hanging="432"/>
      </w:pPr>
      <w:rPr>
        <w:rFonts w:hint="default" w:ascii="Times New Roman" w:hAnsi="Times New Roman" w:cs="Times New Roman"/>
        <w:b/>
        <w:bCs/>
        <w:sz w:val="24"/>
        <w:szCs w:val="24"/>
      </w:rPr>
    </w:lvl>
    <w:lvl w:ilvl="1" w:tentative="0">
      <w:start w:val="1"/>
      <w:numFmt w:val="decimal"/>
      <w:pStyle w:val="3"/>
      <w:lvlText w:val="%1.%2"/>
      <w:lvlJc w:val="left"/>
      <w:pPr>
        <w:tabs>
          <w:tab w:val="left" w:pos="1002"/>
        </w:tabs>
        <w:ind w:left="1002"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315"/>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2ZGRhMzMwOTVjMjEzMzZhODg1M2ZiOTI5NzRmNzIifQ=="/>
  </w:docVars>
  <w:rsids>
    <w:rsidRoot w:val="00172A27"/>
    <w:rsid w:val="000160E5"/>
    <w:rsid w:val="000229E9"/>
    <w:rsid w:val="00024E49"/>
    <w:rsid w:val="00053A14"/>
    <w:rsid w:val="000611A2"/>
    <w:rsid w:val="0006732B"/>
    <w:rsid w:val="00071067"/>
    <w:rsid w:val="000A01B1"/>
    <w:rsid w:val="000A4F30"/>
    <w:rsid w:val="000A70D5"/>
    <w:rsid w:val="000B0999"/>
    <w:rsid w:val="000B5032"/>
    <w:rsid w:val="000C3616"/>
    <w:rsid w:val="000D1859"/>
    <w:rsid w:val="000D5537"/>
    <w:rsid w:val="000E43C3"/>
    <w:rsid w:val="000F6271"/>
    <w:rsid w:val="0010138E"/>
    <w:rsid w:val="00101B5F"/>
    <w:rsid w:val="001046C6"/>
    <w:rsid w:val="00117B38"/>
    <w:rsid w:val="00123C91"/>
    <w:rsid w:val="00124640"/>
    <w:rsid w:val="0014333B"/>
    <w:rsid w:val="00143E2F"/>
    <w:rsid w:val="00144456"/>
    <w:rsid w:val="0015225C"/>
    <w:rsid w:val="00164425"/>
    <w:rsid w:val="0016457C"/>
    <w:rsid w:val="00166777"/>
    <w:rsid w:val="0016763B"/>
    <w:rsid w:val="001713B2"/>
    <w:rsid w:val="0018161D"/>
    <w:rsid w:val="0018270F"/>
    <w:rsid w:val="00184683"/>
    <w:rsid w:val="001846C6"/>
    <w:rsid w:val="00187599"/>
    <w:rsid w:val="00190795"/>
    <w:rsid w:val="001908EB"/>
    <w:rsid w:val="00190C66"/>
    <w:rsid w:val="00197CA9"/>
    <w:rsid w:val="001A07AD"/>
    <w:rsid w:val="001A4C95"/>
    <w:rsid w:val="001C135B"/>
    <w:rsid w:val="001E3738"/>
    <w:rsid w:val="001E4B49"/>
    <w:rsid w:val="001F2B6F"/>
    <w:rsid w:val="00205509"/>
    <w:rsid w:val="0020649D"/>
    <w:rsid w:val="00206C88"/>
    <w:rsid w:val="00211A92"/>
    <w:rsid w:val="00213C53"/>
    <w:rsid w:val="002146E6"/>
    <w:rsid w:val="00222C8B"/>
    <w:rsid w:val="002256AB"/>
    <w:rsid w:val="00226587"/>
    <w:rsid w:val="0023155C"/>
    <w:rsid w:val="0023500C"/>
    <w:rsid w:val="00245475"/>
    <w:rsid w:val="00245ED8"/>
    <w:rsid w:val="00247869"/>
    <w:rsid w:val="0027097A"/>
    <w:rsid w:val="0027777D"/>
    <w:rsid w:val="0028148B"/>
    <w:rsid w:val="0029166E"/>
    <w:rsid w:val="002A081A"/>
    <w:rsid w:val="002D4000"/>
    <w:rsid w:val="002E21BA"/>
    <w:rsid w:val="003001B6"/>
    <w:rsid w:val="003050DA"/>
    <w:rsid w:val="003070E4"/>
    <w:rsid w:val="00311618"/>
    <w:rsid w:val="00313F82"/>
    <w:rsid w:val="00321C9F"/>
    <w:rsid w:val="00321D84"/>
    <w:rsid w:val="00321DC6"/>
    <w:rsid w:val="003235AA"/>
    <w:rsid w:val="00323BE0"/>
    <w:rsid w:val="00332630"/>
    <w:rsid w:val="00332BE3"/>
    <w:rsid w:val="003414DC"/>
    <w:rsid w:val="00342B1E"/>
    <w:rsid w:val="00343252"/>
    <w:rsid w:val="00343B04"/>
    <w:rsid w:val="003453C0"/>
    <w:rsid w:val="003648E5"/>
    <w:rsid w:val="00380FFB"/>
    <w:rsid w:val="00382EEA"/>
    <w:rsid w:val="003855BD"/>
    <w:rsid w:val="00394FFC"/>
    <w:rsid w:val="003A2554"/>
    <w:rsid w:val="003A422D"/>
    <w:rsid w:val="003A5658"/>
    <w:rsid w:val="003D2085"/>
    <w:rsid w:val="003D316D"/>
    <w:rsid w:val="003D7206"/>
    <w:rsid w:val="003E00C6"/>
    <w:rsid w:val="003E092A"/>
    <w:rsid w:val="003E0C76"/>
    <w:rsid w:val="003E240C"/>
    <w:rsid w:val="003E5BB6"/>
    <w:rsid w:val="003E67B9"/>
    <w:rsid w:val="003F2C09"/>
    <w:rsid w:val="003F4B39"/>
    <w:rsid w:val="00401CCA"/>
    <w:rsid w:val="0040342E"/>
    <w:rsid w:val="00416276"/>
    <w:rsid w:val="00420414"/>
    <w:rsid w:val="0042402E"/>
    <w:rsid w:val="00433D65"/>
    <w:rsid w:val="004404B8"/>
    <w:rsid w:val="00444854"/>
    <w:rsid w:val="00464BA3"/>
    <w:rsid w:val="00470061"/>
    <w:rsid w:val="0047523E"/>
    <w:rsid w:val="00477777"/>
    <w:rsid w:val="00485BEE"/>
    <w:rsid w:val="0049061C"/>
    <w:rsid w:val="004A2B77"/>
    <w:rsid w:val="004B29DD"/>
    <w:rsid w:val="004C4C2B"/>
    <w:rsid w:val="004D2304"/>
    <w:rsid w:val="004D2CAD"/>
    <w:rsid w:val="004D3463"/>
    <w:rsid w:val="004D55FC"/>
    <w:rsid w:val="004D719D"/>
    <w:rsid w:val="004E5B26"/>
    <w:rsid w:val="004F13C1"/>
    <w:rsid w:val="004F2BB6"/>
    <w:rsid w:val="004F4490"/>
    <w:rsid w:val="005035A5"/>
    <w:rsid w:val="00526CF8"/>
    <w:rsid w:val="00527D58"/>
    <w:rsid w:val="00530F97"/>
    <w:rsid w:val="00532D1A"/>
    <w:rsid w:val="00536630"/>
    <w:rsid w:val="00540095"/>
    <w:rsid w:val="00542085"/>
    <w:rsid w:val="005449A0"/>
    <w:rsid w:val="00550598"/>
    <w:rsid w:val="00550CDC"/>
    <w:rsid w:val="00554851"/>
    <w:rsid w:val="00574523"/>
    <w:rsid w:val="005A2F43"/>
    <w:rsid w:val="005A5ABD"/>
    <w:rsid w:val="005A794C"/>
    <w:rsid w:val="005B14BD"/>
    <w:rsid w:val="005B234B"/>
    <w:rsid w:val="005B3BB7"/>
    <w:rsid w:val="005B4B8B"/>
    <w:rsid w:val="005D2338"/>
    <w:rsid w:val="005D23B6"/>
    <w:rsid w:val="005D252E"/>
    <w:rsid w:val="005E05E6"/>
    <w:rsid w:val="005F1EF5"/>
    <w:rsid w:val="005F3348"/>
    <w:rsid w:val="005F48D7"/>
    <w:rsid w:val="005F7EEE"/>
    <w:rsid w:val="0060168B"/>
    <w:rsid w:val="00601C83"/>
    <w:rsid w:val="00604427"/>
    <w:rsid w:val="00611134"/>
    <w:rsid w:val="00624435"/>
    <w:rsid w:val="00625840"/>
    <w:rsid w:val="00631E00"/>
    <w:rsid w:val="006346DA"/>
    <w:rsid w:val="00641E5D"/>
    <w:rsid w:val="00644D6D"/>
    <w:rsid w:val="00645786"/>
    <w:rsid w:val="0064752F"/>
    <w:rsid w:val="006579BB"/>
    <w:rsid w:val="006665CE"/>
    <w:rsid w:val="0066661C"/>
    <w:rsid w:val="0066689C"/>
    <w:rsid w:val="00687CEC"/>
    <w:rsid w:val="006977D3"/>
    <w:rsid w:val="006B234F"/>
    <w:rsid w:val="006B263C"/>
    <w:rsid w:val="006B5D83"/>
    <w:rsid w:val="006B6B0E"/>
    <w:rsid w:val="006B7DEC"/>
    <w:rsid w:val="006B7F6E"/>
    <w:rsid w:val="006C61F9"/>
    <w:rsid w:val="006F689A"/>
    <w:rsid w:val="007018FC"/>
    <w:rsid w:val="0070264A"/>
    <w:rsid w:val="00710B2A"/>
    <w:rsid w:val="007314F7"/>
    <w:rsid w:val="00736516"/>
    <w:rsid w:val="00744D98"/>
    <w:rsid w:val="00747046"/>
    <w:rsid w:val="00754F93"/>
    <w:rsid w:val="0075543C"/>
    <w:rsid w:val="00781E30"/>
    <w:rsid w:val="00782B76"/>
    <w:rsid w:val="007A1C68"/>
    <w:rsid w:val="007B27E8"/>
    <w:rsid w:val="007B5FE0"/>
    <w:rsid w:val="007C1C3B"/>
    <w:rsid w:val="007D00FB"/>
    <w:rsid w:val="007E3D44"/>
    <w:rsid w:val="007E619D"/>
    <w:rsid w:val="007F0B1B"/>
    <w:rsid w:val="007F5710"/>
    <w:rsid w:val="00826585"/>
    <w:rsid w:val="0083208F"/>
    <w:rsid w:val="00833023"/>
    <w:rsid w:val="0085069A"/>
    <w:rsid w:val="00865863"/>
    <w:rsid w:val="008753DB"/>
    <w:rsid w:val="008761CB"/>
    <w:rsid w:val="008775DA"/>
    <w:rsid w:val="00881461"/>
    <w:rsid w:val="00884497"/>
    <w:rsid w:val="0088643F"/>
    <w:rsid w:val="008967C9"/>
    <w:rsid w:val="00897C4D"/>
    <w:rsid w:val="008A0E04"/>
    <w:rsid w:val="008A2C89"/>
    <w:rsid w:val="008A5012"/>
    <w:rsid w:val="008B2E19"/>
    <w:rsid w:val="008B4091"/>
    <w:rsid w:val="008B7220"/>
    <w:rsid w:val="008D3200"/>
    <w:rsid w:val="008E0047"/>
    <w:rsid w:val="008E3858"/>
    <w:rsid w:val="008E3F8A"/>
    <w:rsid w:val="008F233E"/>
    <w:rsid w:val="008F6B41"/>
    <w:rsid w:val="0090212F"/>
    <w:rsid w:val="009054BD"/>
    <w:rsid w:val="00905A26"/>
    <w:rsid w:val="00920B18"/>
    <w:rsid w:val="00920F62"/>
    <w:rsid w:val="0092299C"/>
    <w:rsid w:val="009274CA"/>
    <w:rsid w:val="00927F39"/>
    <w:rsid w:val="009376C0"/>
    <w:rsid w:val="00946D27"/>
    <w:rsid w:val="00950BFA"/>
    <w:rsid w:val="00951F7A"/>
    <w:rsid w:val="00962B9A"/>
    <w:rsid w:val="0096787C"/>
    <w:rsid w:val="00967A25"/>
    <w:rsid w:val="009752C9"/>
    <w:rsid w:val="00991432"/>
    <w:rsid w:val="00992CCB"/>
    <w:rsid w:val="009B2967"/>
    <w:rsid w:val="009B3B72"/>
    <w:rsid w:val="009B719C"/>
    <w:rsid w:val="009B71A1"/>
    <w:rsid w:val="009C6277"/>
    <w:rsid w:val="009D02DB"/>
    <w:rsid w:val="009D2E94"/>
    <w:rsid w:val="009E1DA7"/>
    <w:rsid w:val="009E30EE"/>
    <w:rsid w:val="009E3A83"/>
    <w:rsid w:val="00A00F5C"/>
    <w:rsid w:val="00A0103B"/>
    <w:rsid w:val="00A06637"/>
    <w:rsid w:val="00A12292"/>
    <w:rsid w:val="00A23CAE"/>
    <w:rsid w:val="00A2409D"/>
    <w:rsid w:val="00A310DC"/>
    <w:rsid w:val="00A3222D"/>
    <w:rsid w:val="00A324EE"/>
    <w:rsid w:val="00A33DAB"/>
    <w:rsid w:val="00A53CC2"/>
    <w:rsid w:val="00A55A37"/>
    <w:rsid w:val="00A609A3"/>
    <w:rsid w:val="00A73CAD"/>
    <w:rsid w:val="00A845CA"/>
    <w:rsid w:val="00A847D2"/>
    <w:rsid w:val="00A8547D"/>
    <w:rsid w:val="00A86486"/>
    <w:rsid w:val="00AC31A2"/>
    <w:rsid w:val="00AC35D0"/>
    <w:rsid w:val="00AE04A4"/>
    <w:rsid w:val="00AE13B9"/>
    <w:rsid w:val="00AE4B45"/>
    <w:rsid w:val="00AE6D09"/>
    <w:rsid w:val="00B05CAB"/>
    <w:rsid w:val="00B13975"/>
    <w:rsid w:val="00B210C4"/>
    <w:rsid w:val="00B316D6"/>
    <w:rsid w:val="00B35B70"/>
    <w:rsid w:val="00B40F5D"/>
    <w:rsid w:val="00B4450D"/>
    <w:rsid w:val="00B50BC6"/>
    <w:rsid w:val="00B7440C"/>
    <w:rsid w:val="00B91D77"/>
    <w:rsid w:val="00BA5661"/>
    <w:rsid w:val="00BB1B78"/>
    <w:rsid w:val="00BB6F67"/>
    <w:rsid w:val="00BD737B"/>
    <w:rsid w:val="00BE34E4"/>
    <w:rsid w:val="00BF623E"/>
    <w:rsid w:val="00C02529"/>
    <w:rsid w:val="00C03C7E"/>
    <w:rsid w:val="00C05A30"/>
    <w:rsid w:val="00C24960"/>
    <w:rsid w:val="00C25E92"/>
    <w:rsid w:val="00C30C10"/>
    <w:rsid w:val="00C32057"/>
    <w:rsid w:val="00C368F2"/>
    <w:rsid w:val="00C44ECB"/>
    <w:rsid w:val="00C53885"/>
    <w:rsid w:val="00C60826"/>
    <w:rsid w:val="00C63F42"/>
    <w:rsid w:val="00C65276"/>
    <w:rsid w:val="00C74C4E"/>
    <w:rsid w:val="00C82D63"/>
    <w:rsid w:val="00C8534F"/>
    <w:rsid w:val="00C86815"/>
    <w:rsid w:val="00C92457"/>
    <w:rsid w:val="00C92A3B"/>
    <w:rsid w:val="00CA2F4F"/>
    <w:rsid w:val="00CA35EE"/>
    <w:rsid w:val="00CA4896"/>
    <w:rsid w:val="00CB0DAD"/>
    <w:rsid w:val="00CD0A6B"/>
    <w:rsid w:val="00CD0B32"/>
    <w:rsid w:val="00CD4CD7"/>
    <w:rsid w:val="00CE5A73"/>
    <w:rsid w:val="00CE74A5"/>
    <w:rsid w:val="00CF2101"/>
    <w:rsid w:val="00CF75F2"/>
    <w:rsid w:val="00D02FC8"/>
    <w:rsid w:val="00D05A0A"/>
    <w:rsid w:val="00D07715"/>
    <w:rsid w:val="00D13AA0"/>
    <w:rsid w:val="00D148F2"/>
    <w:rsid w:val="00D25AD1"/>
    <w:rsid w:val="00D26E1D"/>
    <w:rsid w:val="00D311B1"/>
    <w:rsid w:val="00D327E6"/>
    <w:rsid w:val="00D329FF"/>
    <w:rsid w:val="00D3528D"/>
    <w:rsid w:val="00D36732"/>
    <w:rsid w:val="00D41395"/>
    <w:rsid w:val="00D4479F"/>
    <w:rsid w:val="00D55B90"/>
    <w:rsid w:val="00D5688D"/>
    <w:rsid w:val="00D56F0F"/>
    <w:rsid w:val="00D650A1"/>
    <w:rsid w:val="00D83F31"/>
    <w:rsid w:val="00D85253"/>
    <w:rsid w:val="00DB3F9F"/>
    <w:rsid w:val="00DC3E26"/>
    <w:rsid w:val="00DC40DC"/>
    <w:rsid w:val="00DD6393"/>
    <w:rsid w:val="00DE139A"/>
    <w:rsid w:val="00DE60A0"/>
    <w:rsid w:val="00DF057B"/>
    <w:rsid w:val="00DF1983"/>
    <w:rsid w:val="00E01838"/>
    <w:rsid w:val="00E06168"/>
    <w:rsid w:val="00E15A28"/>
    <w:rsid w:val="00E24459"/>
    <w:rsid w:val="00E30260"/>
    <w:rsid w:val="00E30E16"/>
    <w:rsid w:val="00E326C8"/>
    <w:rsid w:val="00E44C9A"/>
    <w:rsid w:val="00E505E3"/>
    <w:rsid w:val="00E544EC"/>
    <w:rsid w:val="00E655EF"/>
    <w:rsid w:val="00E66C18"/>
    <w:rsid w:val="00E811F3"/>
    <w:rsid w:val="00E820F8"/>
    <w:rsid w:val="00E95BCE"/>
    <w:rsid w:val="00EA1779"/>
    <w:rsid w:val="00EA27B4"/>
    <w:rsid w:val="00EB0919"/>
    <w:rsid w:val="00EB19CB"/>
    <w:rsid w:val="00ED03C2"/>
    <w:rsid w:val="00ED5130"/>
    <w:rsid w:val="00ED5CA1"/>
    <w:rsid w:val="00EE09C7"/>
    <w:rsid w:val="00EE519A"/>
    <w:rsid w:val="00F04520"/>
    <w:rsid w:val="00F05ED9"/>
    <w:rsid w:val="00F16E18"/>
    <w:rsid w:val="00F23A1B"/>
    <w:rsid w:val="00F53154"/>
    <w:rsid w:val="00F6335A"/>
    <w:rsid w:val="00F75E22"/>
    <w:rsid w:val="00F77EEF"/>
    <w:rsid w:val="00F84515"/>
    <w:rsid w:val="00F879E7"/>
    <w:rsid w:val="00FA5321"/>
    <w:rsid w:val="00FA703E"/>
    <w:rsid w:val="00FB09F7"/>
    <w:rsid w:val="00FB6299"/>
    <w:rsid w:val="00FB673C"/>
    <w:rsid w:val="00FC06CA"/>
    <w:rsid w:val="00FC384B"/>
    <w:rsid w:val="00FC67B7"/>
    <w:rsid w:val="00FD0CEE"/>
    <w:rsid w:val="00FD2F90"/>
    <w:rsid w:val="00FD5069"/>
    <w:rsid w:val="00FE6862"/>
    <w:rsid w:val="00FF0921"/>
    <w:rsid w:val="00FF41EE"/>
    <w:rsid w:val="00FF72FC"/>
    <w:rsid w:val="010A654A"/>
    <w:rsid w:val="016C0FA1"/>
    <w:rsid w:val="01722330"/>
    <w:rsid w:val="01DA16D0"/>
    <w:rsid w:val="023A54C3"/>
    <w:rsid w:val="027C16B8"/>
    <w:rsid w:val="02A46519"/>
    <w:rsid w:val="02FF241D"/>
    <w:rsid w:val="03363C91"/>
    <w:rsid w:val="034F5751"/>
    <w:rsid w:val="03766107"/>
    <w:rsid w:val="0388380D"/>
    <w:rsid w:val="03A569EC"/>
    <w:rsid w:val="03AD58A1"/>
    <w:rsid w:val="03EA5573"/>
    <w:rsid w:val="04881F39"/>
    <w:rsid w:val="04D37589"/>
    <w:rsid w:val="055204AE"/>
    <w:rsid w:val="05E01F5E"/>
    <w:rsid w:val="065E2E82"/>
    <w:rsid w:val="06654211"/>
    <w:rsid w:val="07283BBC"/>
    <w:rsid w:val="07300CC3"/>
    <w:rsid w:val="07826B5F"/>
    <w:rsid w:val="07995420"/>
    <w:rsid w:val="07E04497"/>
    <w:rsid w:val="07E205EC"/>
    <w:rsid w:val="083D68CC"/>
    <w:rsid w:val="08CE0793"/>
    <w:rsid w:val="091C14FF"/>
    <w:rsid w:val="092108C3"/>
    <w:rsid w:val="09287EA3"/>
    <w:rsid w:val="096E37B0"/>
    <w:rsid w:val="09A770FB"/>
    <w:rsid w:val="09BD3422"/>
    <w:rsid w:val="09FB55B8"/>
    <w:rsid w:val="0A285C81"/>
    <w:rsid w:val="0AEC4F01"/>
    <w:rsid w:val="0B0009AC"/>
    <w:rsid w:val="0B2D5495"/>
    <w:rsid w:val="0B3F3282"/>
    <w:rsid w:val="0B4772EB"/>
    <w:rsid w:val="0BA61553"/>
    <w:rsid w:val="0BA852CC"/>
    <w:rsid w:val="0C136F37"/>
    <w:rsid w:val="0C3628D7"/>
    <w:rsid w:val="0C482A69"/>
    <w:rsid w:val="0C4D4B0A"/>
    <w:rsid w:val="0C540FAF"/>
    <w:rsid w:val="0C936A97"/>
    <w:rsid w:val="0CC46135"/>
    <w:rsid w:val="0CD67C16"/>
    <w:rsid w:val="0D544A14"/>
    <w:rsid w:val="0DF90060"/>
    <w:rsid w:val="0E96024B"/>
    <w:rsid w:val="0EFD148A"/>
    <w:rsid w:val="0F0A004B"/>
    <w:rsid w:val="0F2E5D4C"/>
    <w:rsid w:val="0F781522"/>
    <w:rsid w:val="0F874E46"/>
    <w:rsid w:val="100476FB"/>
    <w:rsid w:val="101149D6"/>
    <w:rsid w:val="101F28BD"/>
    <w:rsid w:val="1021564D"/>
    <w:rsid w:val="10916916"/>
    <w:rsid w:val="10AE5AA8"/>
    <w:rsid w:val="10CD2AD0"/>
    <w:rsid w:val="113849FC"/>
    <w:rsid w:val="115B4011"/>
    <w:rsid w:val="11F91E93"/>
    <w:rsid w:val="12486826"/>
    <w:rsid w:val="125C07B5"/>
    <w:rsid w:val="12D469A6"/>
    <w:rsid w:val="130A2779"/>
    <w:rsid w:val="137B2547"/>
    <w:rsid w:val="13916B57"/>
    <w:rsid w:val="13983E78"/>
    <w:rsid w:val="13A22600"/>
    <w:rsid w:val="14117786"/>
    <w:rsid w:val="141F4F1C"/>
    <w:rsid w:val="14382F65"/>
    <w:rsid w:val="145C4EA5"/>
    <w:rsid w:val="148058BF"/>
    <w:rsid w:val="15390DC1"/>
    <w:rsid w:val="153B2D0D"/>
    <w:rsid w:val="153B7C25"/>
    <w:rsid w:val="156F0C08"/>
    <w:rsid w:val="15936557"/>
    <w:rsid w:val="159B3EAF"/>
    <w:rsid w:val="16465E0D"/>
    <w:rsid w:val="165878EE"/>
    <w:rsid w:val="1666200B"/>
    <w:rsid w:val="16F22AD6"/>
    <w:rsid w:val="171C4DC0"/>
    <w:rsid w:val="17555BDC"/>
    <w:rsid w:val="17676F3E"/>
    <w:rsid w:val="17D17958"/>
    <w:rsid w:val="17EC61EC"/>
    <w:rsid w:val="18027B12"/>
    <w:rsid w:val="181141F9"/>
    <w:rsid w:val="188C387F"/>
    <w:rsid w:val="18966943"/>
    <w:rsid w:val="189C5F8C"/>
    <w:rsid w:val="18B84674"/>
    <w:rsid w:val="194A1770"/>
    <w:rsid w:val="1968609A"/>
    <w:rsid w:val="19E940B8"/>
    <w:rsid w:val="19FB6F0E"/>
    <w:rsid w:val="1A386186"/>
    <w:rsid w:val="1A5B79AD"/>
    <w:rsid w:val="1A7A42D7"/>
    <w:rsid w:val="1AAF7F51"/>
    <w:rsid w:val="1B063DBD"/>
    <w:rsid w:val="1B3721C8"/>
    <w:rsid w:val="1C647E4E"/>
    <w:rsid w:val="1C8C02F2"/>
    <w:rsid w:val="1CE65C54"/>
    <w:rsid w:val="1CFA30BB"/>
    <w:rsid w:val="1D83581B"/>
    <w:rsid w:val="1DC75A85"/>
    <w:rsid w:val="1E384831"/>
    <w:rsid w:val="1E74207C"/>
    <w:rsid w:val="1E78236B"/>
    <w:rsid w:val="1E9536CD"/>
    <w:rsid w:val="1EC975DB"/>
    <w:rsid w:val="1EFA59E6"/>
    <w:rsid w:val="1F3A2287"/>
    <w:rsid w:val="1F3C5FFF"/>
    <w:rsid w:val="1F6E1F30"/>
    <w:rsid w:val="1F8B4890"/>
    <w:rsid w:val="20914917"/>
    <w:rsid w:val="2096357F"/>
    <w:rsid w:val="209E23A2"/>
    <w:rsid w:val="20CA763A"/>
    <w:rsid w:val="20CC2F96"/>
    <w:rsid w:val="21124DCE"/>
    <w:rsid w:val="21316D8A"/>
    <w:rsid w:val="21957C48"/>
    <w:rsid w:val="21A97250"/>
    <w:rsid w:val="21B77BBF"/>
    <w:rsid w:val="21D41116"/>
    <w:rsid w:val="21F506E7"/>
    <w:rsid w:val="222F59A7"/>
    <w:rsid w:val="229F1EE1"/>
    <w:rsid w:val="22AF57F8"/>
    <w:rsid w:val="22B9759E"/>
    <w:rsid w:val="22DD6FF8"/>
    <w:rsid w:val="22EF40BD"/>
    <w:rsid w:val="235F22BC"/>
    <w:rsid w:val="238D507B"/>
    <w:rsid w:val="24374FE7"/>
    <w:rsid w:val="24995D26"/>
    <w:rsid w:val="24C20074"/>
    <w:rsid w:val="24D10F97"/>
    <w:rsid w:val="253F4153"/>
    <w:rsid w:val="25BD776E"/>
    <w:rsid w:val="26451C3D"/>
    <w:rsid w:val="264B7A83"/>
    <w:rsid w:val="267A740D"/>
    <w:rsid w:val="2714160F"/>
    <w:rsid w:val="27165388"/>
    <w:rsid w:val="27533EE6"/>
    <w:rsid w:val="27992BB1"/>
    <w:rsid w:val="27ED368D"/>
    <w:rsid w:val="28395410"/>
    <w:rsid w:val="28610884"/>
    <w:rsid w:val="28616AD6"/>
    <w:rsid w:val="288135F7"/>
    <w:rsid w:val="28D31148"/>
    <w:rsid w:val="290364D4"/>
    <w:rsid w:val="29FC6AB7"/>
    <w:rsid w:val="2A5F0DF4"/>
    <w:rsid w:val="2AB23619"/>
    <w:rsid w:val="2B2A2197"/>
    <w:rsid w:val="2B6A7A50"/>
    <w:rsid w:val="2B7E174D"/>
    <w:rsid w:val="2BD870AF"/>
    <w:rsid w:val="2C9F74A6"/>
    <w:rsid w:val="2CC87124"/>
    <w:rsid w:val="2CD929E0"/>
    <w:rsid w:val="2CDE06F5"/>
    <w:rsid w:val="2D256DC0"/>
    <w:rsid w:val="2D263E4A"/>
    <w:rsid w:val="2D327D6F"/>
    <w:rsid w:val="2DAC07F4"/>
    <w:rsid w:val="2DBF5F53"/>
    <w:rsid w:val="2E16662F"/>
    <w:rsid w:val="2EB937A9"/>
    <w:rsid w:val="30045BF1"/>
    <w:rsid w:val="30182170"/>
    <w:rsid w:val="30420F9B"/>
    <w:rsid w:val="306B04F2"/>
    <w:rsid w:val="30B32CE1"/>
    <w:rsid w:val="30BF25EC"/>
    <w:rsid w:val="30D73817"/>
    <w:rsid w:val="311C74B3"/>
    <w:rsid w:val="3267118D"/>
    <w:rsid w:val="3285309C"/>
    <w:rsid w:val="3293248D"/>
    <w:rsid w:val="3331026D"/>
    <w:rsid w:val="336E33EB"/>
    <w:rsid w:val="3380537B"/>
    <w:rsid w:val="33953AD8"/>
    <w:rsid w:val="33DB3B8B"/>
    <w:rsid w:val="33E81E5A"/>
    <w:rsid w:val="33EA3E24"/>
    <w:rsid w:val="33FC5905"/>
    <w:rsid w:val="342804A8"/>
    <w:rsid w:val="34397E4E"/>
    <w:rsid w:val="34482A1C"/>
    <w:rsid w:val="34775367"/>
    <w:rsid w:val="349B6ECC"/>
    <w:rsid w:val="353C6662"/>
    <w:rsid w:val="35584DBD"/>
    <w:rsid w:val="359F2181"/>
    <w:rsid w:val="35EB3739"/>
    <w:rsid w:val="35F72828"/>
    <w:rsid w:val="360D0B0F"/>
    <w:rsid w:val="36CE22C7"/>
    <w:rsid w:val="37895702"/>
    <w:rsid w:val="37C4673A"/>
    <w:rsid w:val="37D56B99"/>
    <w:rsid w:val="38092ACC"/>
    <w:rsid w:val="38213B8C"/>
    <w:rsid w:val="383B4C4E"/>
    <w:rsid w:val="38BD38B5"/>
    <w:rsid w:val="38C369F1"/>
    <w:rsid w:val="38E22FEA"/>
    <w:rsid w:val="392D6C85"/>
    <w:rsid w:val="39363667"/>
    <w:rsid w:val="39763A64"/>
    <w:rsid w:val="39B27192"/>
    <w:rsid w:val="3A791A5E"/>
    <w:rsid w:val="3A861B87"/>
    <w:rsid w:val="3A9E3FF0"/>
    <w:rsid w:val="3AC0143A"/>
    <w:rsid w:val="3B450DF0"/>
    <w:rsid w:val="3B6F5CCA"/>
    <w:rsid w:val="3B765F9D"/>
    <w:rsid w:val="3B914B85"/>
    <w:rsid w:val="3B9303C7"/>
    <w:rsid w:val="3BA0301A"/>
    <w:rsid w:val="3BAE7806"/>
    <w:rsid w:val="3C4D7C1C"/>
    <w:rsid w:val="3C862215"/>
    <w:rsid w:val="3C8D26D4"/>
    <w:rsid w:val="3CF63839"/>
    <w:rsid w:val="3D0D46DF"/>
    <w:rsid w:val="3D251A29"/>
    <w:rsid w:val="3D954E00"/>
    <w:rsid w:val="3E6F3D01"/>
    <w:rsid w:val="3EAB2402"/>
    <w:rsid w:val="3EE56D0A"/>
    <w:rsid w:val="3EE6168C"/>
    <w:rsid w:val="3F025137"/>
    <w:rsid w:val="3FEB51AC"/>
    <w:rsid w:val="40275583"/>
    <w:rsid w:val="40653950"/>
    <w:rsid w:val="40680A80"/>
    <w:rsid w:val="40C17E04"/>
    <w:rsid w:val="40F84155"/>
    <w:rsid w:val="41225DF0"/>
    <w:rsid w:val="41285F8B"/>
    <w:rsid w:val="41760AA5"/>
    <w:rsid w:val="41970A1B"/>
    <w:rsid w:val="41A13D3C"/>
    <w:rsid w:val="43523847"/>
    <w:rsid w:val="44006D4C"/>
    <w:rsid w:val="4413477E"/>
    <w:rsid w:val="441C2F13"/>
    <w:rsid w:val="44937BC0"/>
    <w:rsid w:val="44A45929"/>
    <w:rsid w:val="44A65B45"/>
    <w:rsid w:val="45130F60"/>
    <w:rsid w:val="457C0654"/>
    <w:rsid w:val="458F5477"/>
    <w:rsid w:val="45C83899"/>
    <w:rsid w:val="45E5444B"/>
    <w:rsid w:val="461D3BE5"/>
    <w:rsid w:val="46A936CA"/>
    <w:rsid w:val="470628CB"/>
    <w:rsid w:val="47794E4B"/>
    <w:rsid w:val="47992A50"/>
    <w:rsid w:val="47EA7AF7"/>
    <w:rsid w:val="481D7ECC"/>
    <w:rsid w:val="48666A30"/>
    <w:rsid w:val="48D01612"/>
    <w:rsid w:val="48EA3B26"/>
    <w:rsid w:val="48EB0FB9"/>
    <w:rsid w:val="48F22F6E"/>
    <w:rsid w:val="4921579A"/>
    <w:rsid w:val="499E6DEB"/>
    <w:rsid w:val="4A0B536C"/>
    <w:rsid w:val="4A1470AD"/>
    <w:rsid w:val="4A1B043B"/>
    <w:rsid w:val="4A546DD1"/>
    <w:rsid w:val="4A6C4382"/>
    <w:rsid w:val="4A8D6117"/>
    <w:rsid w:val="4AAA7A11"/>
    <w:rsid w:val="4B4E4840"/>
    <w:rsid w:val="4B663938"/>
    <w:rsid w:val="4B865D88"/>
    <w:rsid w:val="4C2A2BB8"/>
    <w:rsid w:val="4CBB5E2A"/>
    <w:rsid w:val="4CD51E6A"/>
    <w:rsid w:val="4D3B2BA3"/>
    <w:rsid w:val="4DCB03CA"/>
    <w:rsid w:val="4DF65033"/>
    <w:rsid w:val="4E076936"/>
    <w:rsid w:val="4EA353A0"/>
    <w:rsid w:val="4EB07CB6"/>
    <w:rsid w:val="4ECF0241"/>
    <w:rsid w:val="4EFB6A8D"/>
    <w:rsid w:val="4F2705B3"/>
    <w:rsid w:val="4F2C763B"/>
    <w:rsid w:val="4F375930"/>
    <w:rsid w:val="4FEF3FC1"/>
    <w:rsid w:val="50716E69"/>
    <w:rsid w:val="50BC224C"/>
    <w:rsid w:val="50DF65AF"/>
    <w:rsid w:val="50F94100"/>
    <w:rsid w:val="50FA67BE"/>
    <w:rsid w:val="517C428D"/>
    <w:rsid w:val="518A104E"/>
    <w:rsid w:val="51A27694"/>
    <w:rsid w:val="51A67184"/>
    <w:rsid w:val="51D81308"/>
    <w:rsid w:val="5246001F"/>
    <w:rsid w:val="529F5982"/>
    <w:rsid w:val="52AD62F0"/>
    <w:rsid w:val="53022EC3"/>
    <w:rsid w:val="532109F3"/>
    <w:rsid w:val="536B0ACE"/>
    <w:rsid w:val="538C4158"/>
    <w:rsid w:val="539A6875"/>
    <w:rsid w:val="53E0500A"/>
    <w:rsid w:val="54330A77"/>
    <w:rsid w:val="543F741C"/>
    <w:rsid w:val="54E029AD"/>
    <w:rsid w:val="552F7600"/>
    <w:rsid w:val="563034C0"/>
    <w:rsid w:val="56436613"/>
    <w:rsid w:val="56B84075"/>
    <w:rsid w:val="56F031A2"/>
    <w:rsid w:val="57062473"/>
    <w:rsid w:val="57294B19"/>
    <w:rsid w:val="57664459"/>
    <w:rsid w:val="58207565"/>
    <w:rsid w:val="58256929"/>
    <w:rsid w:val="5849754D"/>
    <w:rsid w:val="585E160F"/>
    <w:rsid w:val="5952374E"/>
    <w:rsid w:val="5A317807"/>
    <w:rsid w:val="5A5A6D5E"/>
    <w:rsid w:val="5A6D2048"/>
    <w:rsid w:val="5AB04BD0"/>
    <w:rsid w:val="5AD563E4"/>
    <w:rsid w:val="5ADF54B5"/>
    <w:rsid w:val="5BA109BC"/>
    <w:rsid w:val="5BE03293"/>
    <w:rsid w:val="5C294C3A"/>
    <w:rsid w:val="5C78796F"/>
    <w:rsid w:val="5C8E0F41"/>
    <w:rsid w:val="5C9C5E9D"/>
    <w:rsid w:val="5CA37ECD"/>
    <w:rsid w:val="5CAB38A1"/>
    <w:rsid w:val="5CC26E3C"/>
    <w:rsid w:val="5CD37C2C"/>
    <w:rsid w:val="5CDF793D"/>
    <w:rsid w:val="5D017965"/>
    <w:rsid w:val="5D5B059B"/>
    <w:rsid w:val="5D617224"/>
    <w:rsid w:val="5D9C57DB"/>
    <w:rsid w:val="5E826883"/>
    <w:rsid w:val="5EF17565"/>
    <w:rsid w:val="5F2D438A"/>
    <w:rsid w:val="5F3560AF"/>
    <w:rsid w:val="5F64066E"/>
    <w:rsid w:val="5FAC194B"/>
    <w:rsid w:val="5FAF6EC1"/>
    <w:rsid w:val="5FBC7B73"/>
    <w:rsid w:val="5FE45582"/>
    <w:rsid w:val="601A7A35"/>
    <w:rsid w:val="60442ED7"/>
    <w:rsid w:val="606E432F"/>
    <w:rsid w:val="60B878F4"/>
    <w:rsid w:val="60D4713E"/>
    <w:rsid w:val="611834CF"/>
    <w:rsid w:val="61EC68CF"/>
    <w:rsid w:val="621A2D16"/>
    <w:rsid w:val="62830E1C"/>
    <w:rsid w:val="62BA669D"/>
    <w:rsid w:val="632C5010"/>
    <w:rsid w:val="63583139"/>
    <w:rsid w:val="637569B7"/>
    <w:rsid w:val="6396201C"/>
    <w:rsid w:val="639B703A"/>
    <w:rsid w:val="63CD6027"/>
    <w:rsid w:val="643B7C00"/>
    <w:rsid w:val="644731F2"/>
    <w:rsid w:val="64850E7B"/>
    <w:rsid w:val="65000502"/>
    <w:rsid w:val="659A0956"/>
    <w:rsid w:val="65DD6A95"/>
    <w:rsid w:val="6604484E"/>
    <w:rsid w:val="661C75BD"/>
    <w:rsid w:val="665736AD"/>
    <w:rsid w:val="667E2026"/>
    <w:rsid w:val="668F5FE1"/>
    <w:rsid w:val="66A72BE8"/>
    <w:rsid w:val="66AA2E1B"/>
    <w:rsid w:val="66C0619B"/>
    <w:rsid w:val="66DE0D17"/>
    <w:rsid w:val="67256946"/>
    <w:rsid w:val="67486190"/>
    <w:rsid w:val="67900263"/>
    <w:rsid w:val="68071BA7"/>
    <w:rsid w:val="68201F0B"/>
    <w:rsid w:val="68331D74"/>
    <w:rsid w:val="68550B65"/>
    <w:rsid w:val="68A05C66"/>
    <w:rsid w:val="68B97536"/>
    <w:rsid w:val="68C268BE"/>
    <w:rsid w:val="68E6641D"/>
    <w:rsid w:val="69886D18"/>
    <w:rsid w:val="698F3BB5"/>
    <w:rsid w:val="6994372D"/>
    <w:rsid w:val="69A05967"/>
    <w:rsid w:val="69AF0748"/>
    <w:rsid w:val="69E53555"/>
    <w:rsid w:val="6A3E0931"/>
    <w:rsid w:val="6A9263A0"/>
    <w:rsid w:val="6ABC311D"/>
    <w:rsid w:val="6AE54422"/>
    <w:rsid w:val="6AF40B09"/>
    <w:rsid w:val="6B451364"/>
    <w:rsid w:val="6B4F3D2D"/>
    <w:rsid w:val="6BBA3B00"/>
    <w:rsid w:val="6C236165"/>
    <w:rsid w:val="6CA02374"/>
    <w:rsid w:val="6D997745"/>
    <w:rsid w:val="6DF52792"/>
    <w:rsid w:val="6E6C1425"/>
    <w:rsid w:val="6E8B1784"/>
    <w:rsid w:val="6EA202AE"/>
    <w:rsid w:val="6F655B31"/>
    <w:rsid w:val="6F912DCA"/>
    <w:rsid w:val="6FAB2B7F"/>
    <w:rsid w:val="6FCE7B7A"/>
    <w:rsid w:val="6FDC56F4"/>
    <w:rsid w:val="704C4F43"/>
    <w:rsid w:val="70DA4822"/>
    <w:rsid w:val="713B44FE"/>
    <w:rsid w:val="71CC6629"/>
    <w:rsid w:val="71ED4242"/>
    <w:rsid w:val="71F633B8"/>
    <w:rsid w:val="725B05E1"/>
    <w:rsid w:val="72932477"/>
    <w:rsid w:val="730F498F"/>
    <w:rsid w:val="73397A01"/>
    <w:rsid w:val="73813156"/>
    <w:rsid w:val="73AA26AC"/>
    <w:rsid w:val="73C66DBA"/>
    <w:rsid w:val="73CF232F"/>
    <w:rsid w:val="73DE2356"/>
    <w:rsid w:val="73EF1570"/>
    <w:rsid w:val="74066AD3"/>
    <w:rsid w:val="743E4BA3"/>
    <w:rsid w:val="744F2D75"/>
    <w:rsid w:val="74A964C0"/>
    <w:rsid w:val="74AC7D5E"/>
    <w:rsid w:val="74B11819"/>
    <w:rsid w:val="750E2E16"/>
    <w:rsid w:val="75835535"/>
    <w:rsid w:val="762229CE"/>
    <w:rsid w:val="768D0D88"/>
    <w:rsid w:val="76DD06A3"/>
    <w:rsid w:val="773C186D"/>
    <w:rsid w:val="776B3F01"/>
    <w:rsid w:val="77F51A1C"/>
    <w:rsid w:val="78827EBC"/>
    <w:rsid w:val="78EA7678"/>
    <w:rsid w:val="79667075"/>
    <w:rsid w:val="79755ACA"/>
    <w:rsid w:val="79917783"/>
    <w:rsid w:val="79DE01B9"/>
    <w:rsid w:val="79EF3018"/>
    <w:rsid w:val="79F503F9"/>
    <w:rsid w:val="7A0128FA"/>
    <w:rsid w:val="7A122D59"/>
    <w:rsid w:val="7A634FA4"/>
    <w:rsid w:val="7AEC35AA"/>
    <w:rsid w:val="7AFB174C"/>
    <w:rsid w:val="7B9A1258"/>
    <w:rsid w:val="7BC7487F"/>
    <w:rsid w:val="7BC97448"/>
    <w:rsid w:val="7C917819"/>
    <w:rsid w:val="7CA67789"/>
    <w:rsid w:val="7D22521A"/>
    <w:rsid w:val="7DC21B5E"/>
    <w:rsid w:val="7E1D3A7B"/>
    <w:rsid w:val="7E845165"/>
    <w:rsid w:val="7EA33A37"/>
    <w:rsid w:val="7EE61875"/>
    <w:rsid w:val="7EF40C80"/>
    <w:rsid w:val="7F1D01D6"/>
    <w:rsid w:val="7F3E6456"/>
    <w:rsid w:val="7F6A5A45"/>
    <w:rsid w:val="7F6E1C25"/>
    <w:rsid w:val="7F9852DC"/>
    <w:rsid w:val="7FB4040F"/>
    <w:rsid w:val="7FCA378E"/>
    <w:rsid w:val="7FD4460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4"/>
      <w:szCs w:val="24"/>
      <w:lang w:val="en-US" w:eastAsia="zh-CN" w:bidi="ar-SA"/>
    </w:rPr>
  </w:style>
  <w:style w:type="paragraph" w:styleId="2">
    <w:name w:val="heading 1"/>
    <w:basedOn w:val="1"/>
    <w:next w:val="1"/>
    <w:qFormat/>
    <w:uiPriority w:val="0"/>
    <w:pPr>
      <w:keepNext/>
      <w:keepLines/>
      <w:widowControl/>
      <w:numPr>
        <w:ilvl w:val="0"/>
        <w:numId w:val="1"/>
      </w:numPr>
      <w:spacing w:before="340" w:after="330"/>
      <w:jc w:val="left"/>
      <w:outlineLvl w:val="0"/>
    </w:pPr>
    <w:rPr>
      <w:rFonts w:ascii="华文细黑"/>
      <w:b/>
      <w:bCs/>
      <w:snapToGrid w:val="0"/>
      <w:kern w:val="0"/>
      <w:sz w:val="24"/>
      <w:szCs w:val="44"/>
    </w:rPr>
  </w:style>
  <w:style w:type="paragraph" w:styleId="3">
    <w:name w:val="heading 2"/>
    <w:basedOn w:val="1"/>
    <w:next w:val="1"/>
    <w:qFormat/>
    <w:uiPriority w:val="0"/>
    <w:pPr>
      <w:numPr>
        <w:ilvl w:val="1"/>
        <w:numId w:val="1"/>
      </w:numPr>
      <w:tabs>
        <w:tab w:val="left" w:pos="2376"/>
      </w:tabs>
      <w:spacing w:before="260" w:after="260"/>
      <w:jc w:val="left"/>
      <w:outlineLvl w:val="1"/>
    </w:pPr>
    <w:rPr>
      <w:rFonts w:ascii="华文细黑" w:hAnsi="Arial"/>
      <w:bCs/>
      <w:kern w:val="0"/>
      <w:sz w:val="24"/>
      <w:szCs w:val="32"/>
    </w:rPr>
  </w:style>
  <w:style w:type="paragraph" w:styleId="4">
    <w:name w:val="heading 3"/>
    <w:basedOn w:val="1"/>
    <w:next w:val="1"/>
    <w:qFormat/>
    <w:uiPriority w:val="0"/>
    <w:pPr>
      <w:keepNext/>
      <w:keepLines/>
      <w:widowControl/>
      <w:numPr>
        <w:ilvl w:val="2"/>
        <w:numId w:val="1"/>
      </w:numPr>
      <w:spacing w:before="260" w:beforeLines="0" w:after="260" w:afterLines="0" w:line="416" w:lineRule="auto"/>
      <w:jc w:val="left"/>
      <w:outlineLvl w:val="2"/>
    </w:pPr>
    <w:rPr>
      <w:bCs/>
      <w:kern w:val="0"/>
      <w:sz w:val="24"/>
      <w:szCs w:val="32"/>
    </w:rPr>
  </w:style>
  <w:style w:type="paragraph" w:styleId="5">
    <w:name w:val="heading 4"/>
    <w:basedOn w:val="1"/>
    <w:next w:val="1"/>
    <w:qFormat/>
    <w:uiPriority w:val="0"/>
    <w:pPr>
      <w:keepNext/>
      <w:keepLines/>
      <w:widowControl/>
      <w:numPr>
        <w:ilvl w:val="3"/>
        <w:numId w:val="1"/>
      </w:numPr>
      <w:spacing w:before="280" w:beforeLines="0" w:after="290" w:afterLines="0" w:line="376" w:lineRule="auto"/>
      <w:jc w:val="left"/>
      <w:outlineLvl w:val="3"/>
    </w:pPr>
    <w:rPr>
      <w:rFonts w:ascii="Arial" w:hAnsi="Arial" w:eastAsia="黑体"/>
      <w:b/>
      <w:bCs/>
      <w:kern w:val="0"/>
      <w:sz w:val="28"/>
      <w:szCs w:val="28"/>
    </w:rPr>
  </w:style>
  <w:style w:type="paragraph" w:styleId="6">
    <w:name w:val="heading 5"/>
    <w:basedOn w:val="1"/>
    <w:next w:val="1"/>
    <w:qFormat/>
    <w:uiPriority w:val="0"/>
    <w:pPr>
      <w:keepNext/>
      <w:keepLines/>
      <w:widowControl/>
      <w:numPr>
        <w:ilvl w:val="4"/>
        <w:numId w:val="1"/>
      </w:numPr>
      <w:spacing w:before="280" w:beforeLines="0" w:after="290" w:afterLines="0" w:line="376" w:lineRule="auto"/>
      <w:jc w:val="left"/>
      <w:outlineLvl w:val="4"/>
    </w:pPr>
    <w:rPr>
      <w:b/>
      <w:bCs/>
      <w:kern w:val="0"/>
      <w:sz w:val="28"/>
      <w:szCs w:val="28"/>
    </w:rPr>
  </w:style>
  <w:style w:type="paragraph" w:styleId="7">
    <w:name w:val="heading 6"/>
    <w:basedOn w:val="1"/>
    <w:next w:val="1"/>
    <w:qFormat/>
    <w:uiPriority w:val="0"/>
    <w:pPr>
      <w:keepNext/>
      <w:keepLines/>
      <w:widowControl/>
      <w:numPr>
        <w:ilvl w:val="5"/>
        <w:numId w:val="1"/>
      </w:numPr>
      <w:spacing w:before="240" w:beforeLines="0" w:after="64" w:afterLines="0" w:line="320" w:lineRule="auto"/>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numPr>
        <w:ilvl w:val="6"/>
        <w:numId w:val="1"/>
      </w:numPr>
      <w:spacing w:before="240" w:beforeLines="0" w:after="64" w:afterLines="0" w:line="320" w:lineRule="auto"/>
      <w:jc w:val="left"/>
      <w:outlineLvl w:val="6"/>
    </w:pPr>
    <w:rPr>
      <w:b/>
      <w:bCs/>
      <w:kern w:val="0"/>
      <w:sz w:val="24"/>
    </w:rPr>
  </w:style>
  <w:style w:type="paragraph" w:styleId="9">
    <w:name w:val="heading 8"/>
    <w:basedOn w:val="1"/>
    <w:next w:val="1"/>
    <w:qFormat/>
    <w:uiPriority w:val="0"/>
    <w:pPr>
      <w:keepNext/>
      <w:keepLines/>
      <w:widowControl/>
      <w:numPr>
        <w:ilvl w:val="7"/>
        <w:numId w:val="1"/>
      </w:numPr>
      <w:spacing w:before="240" w:beforeLines="0" w:after="64" w:afterLines="0" w:line="320" w:lineRule="auto"/>
      <w:jc w:val="left"/>
      <w:outlineLvl w:val="7"/>
    </w:pPr>
    <w:rPr>
      <w:rFonts w:ascii="Arial" w:hAnsi="Arial" w:eastAsia="黑体"/>
      <w:kern w:val="0"/>
      <w:sz w:val="24"/>
    </w:rPr>
  </w:style>
  <w:style w:type="paragraph" w:styleId="10">
    <w:name w:val="heading 9"/>
    <w:basedOn w:val="1"/>
    <w:next w:val="1"/>
    <w:qFormat/>
    <w:uiPriority w:val="0"/>
    <w:pPr>
      <w:keepNext/>
      <w:keepLines/>
      <w:widowControl/>
      <w:numPr>
        <w:ilvl w:val="8"/>
        <w:numId w:val="1"/>
      </w:numPr>
      <w:spacing w:before="240" w:beforeLines="0" w:after="64" w:afterLines="0" w:line="320" w:lineRule="auto"/>
      <w:jc w:val="left"/>
      <w:outlineLvl w:val="8"/>
    </w:pPr>
    <w:rPr>
      <w:rFonts w:ascii="Arial" w:hAnsi="Arial" w:eastAsia="黑体"/>
      <w:kern w:val="0"/>
      <w:szCs w:val="21"/>
    </w:rPr>
  </w:style>
  <w:style w:type="character" w:default="1" w:styleId="52">
    <w:name w:val="Default Paragraph Font"/>
    <w:uiPriority w:val="0"/>
  </w:style>
  <w:style w:type="table" w:default="1" w:styleId="50">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50"/>
      <w:tblCellMar>
        <w:top w:w="0" w:type="dxa"/>
        <w:left w:w="108" w:type="dxa"/>
        <w:bottom w:w="0" w:type="dxa"/>
        <w:right w:w="108" w:type="dxa"/>
      </w:tblCellMar>
    </w:tblPr>
  </w:style>
  <w:style w:type="paragraph" w:styleId="11">
    <w:name w:val="List 3"/>
    <w:basedOn w:val="1"/>
    <w:uiPriority w:val="0"/>
    <w:pPr>
      <w:ind w:left="100" w:leftChars="400" w:hanging="200" w:hangingChars="200"/>
    </w:pPr>
  </w:style>
  <w:style w:type="paragraph" w:styleId="12">
    <w:name w:val="toc 7"/>
    <w:basedOn w:val="1"/>
    <w:next w:val="1"/>
    <w:uiPriority w:val="0"/>
    <w:pPr>
      <w:widowControl/>
      <w:ind w:left="1440"/>
      <w:jc w:val="left"/>
    </w:pPr>
    <w:rPr>
      <w:kern w:val="0"/>
      <w:sz w:val="18"/>
      <w:szCs w:val="18"/>
    </w:rPr>
  </w:style>
  <w:style w:type="paragraph" w:styleId="13">
    <w:name w:val="Normal Indent"/>
    <w:basedOn w:val="1"/>
    <w:uiPriority w:val="0"/>
    <w:pPr>
      <w:ind w:firstLine="420" w:firstLineChars="200"/>
    </w:pPr>
  </w:style>
  <w:style w:type="paragraph" w:styleId="14">
    <w:name w:val="caption"/>
    <w:basedOn w:val="1"/>
    <w:next w:val="1"/>
    <w:qFormat/>
    <w:uiPriority w:val="0"/>
    <w:pPr>
      <w:spacing w:before="152" w:beforeLines="0" w:after="160" w:afterLines="0"/>
    </w:pPr>
    <w:rPr>
      <w:rFonts w:ascii="Arial" w:hAnsi="Arial" w:eastAsia="黑体" w:cs="Arial"/>
      <w:sz w:val="20"/>
      <w:szCs w:val="20"/>
    </w:rPr>
  </w:style>
  <w:style w:type="paragraph" w:styleId="15">
    <w:name w:val="Document Map"/>
    <w:basedOn w:val="1"/>
    <w:uiPriority w:val="0"/>
    <w:pPr>
      <w:widowControl/>
      <w:shd w:val="clear" w:color="auto" w:fill="000080"/>
      <w:jc w:val="left"/>
    </w:pPr>
    <w:rPr>
      <w:kern w:val="0"/>
      <w:sz w:val="24"/>
    </w:rPr>
  </w:style>
  <w:style w:type="paragraph" w:styleId="16">
    <w:name w:val="annotation text"/>
    <w:basedOn w:val="1"/>
    <w:link w:val="59"/>
    <w:uiPriority w:val="0"/>
    <w:pPr>
      <w:jc w:val="left"/>
    </w:pPr>
    <w:rPr>
      <w:sz w:val="21"/>
    </w:rPr>
  </w:style>
  <w:style w:type="paragraph" w:styleId="17">
    <w:name w:val="Salutation"/>
    <w:basedOn w:val="1"/>
    <w:next w:val="1"/>
    <w:uiPriority w:val="0"/>
    <w:rPr>
      <w:sz w:val="28"/>
    </w:rPr>
  </w:style>
  <w:style w:type="paragraph" w:styleId="18">
    <w:name w:val="Body Text"/>
    <w:basedOn w:val="1"/>
    <w:uiPriority w:val="0"/>
    <w:pPr>
      <w:spacing w:line="320" w:lineRule="exact"/>
    </w:pPr>
    <w:rPr>
      <w:b/>
      <w:bCs/>
    </w:rPr>
  </w:style>
  <w:style w:type="paragraph" w:styleId="19">
    <w:name w:val="Body Text Indent"/>
    <w:basedOn w:val="1"/>
    <w:uiPriority w:val="0"/>
    <w:pPr>
      <w:spacing w:line="360" w:lineRule="auto"/>
      <w:ind w:firstLine="630"/>
    </w:pPr>
    <w:rPr>
      <w:rFonts w:ascii="宋体" w:hAnsi="宋体"/>
      <w:sz w:val="24"/>
      <w:szCs w:val="20"/>
    </w:rPr>
  </w:style>
  <w:style w:type="paragraph" w:styleId="20">
    <w:name w:val="List 2"/>
    <w:basedOn w:val="1"/>
    <w:uiPriority w:val="0"/>
    <w:pPr>
      <w:ind w:left="100" w:leftChars="200" w:hanging="200" w:hangingChars="200"/>
    </w:pPr>
  </w:style>
  <w:style w:type="paragraph" w:styleId="21">
    <w:name w:val="List Continue"/>
    <w:basedOn w:val="1"/>
    <w:uiPriority w:val="0"/>
    <w:pPr>
      <w:spacing w:after="120" w:afterLines="0"/>
      <w:ind w:left="420" w:leftChars="200"/>
    </w:pPr>
  </w:style>
  <w:style w:type="paragraph" w:styleId="22">
    <w:name w:val="toc 5"/>
    <w:basedOn w:val="1"/>
    <w:next w:val="1"/>
    <w:uiPriority w:val="0"/>
    <w:pPr>
      <w:widowControl/>
      <w:ind w:left="960"/>
      <w:jc w:val="left"/>
    </w:pPr>
    <w:rPr>
      <w:kern w:val="0"/>
      <w:sz w:val="18"/>
      <w:szCs w:val="18"/>
    </w:rPr>
  </w:style>
  <w:style w:type="paragraph" w:styleId="23">
    <w:name w:val="toc 3"/>
    <w:basedOn w:val="1"/>
    <w:next w:val="1"/>
    <w:uiPriority w:val="0"/>
    <w:pPr>
      <w:widowControl/>
      <w:ind w:left="480"/>
      <w:jc w:val="left"/>
    </w:pPr>
    <w:rPr>
      <w:i/>
      <w:iCs/>
      <w:kern w:val="0"/>
      <w:sz w:val="20"/>
      <w:szCs w:val="20"/>
    </w:rPr>
  </w:style>
  <w:style w:type="paragraph" w:styleId="24">
    <w:name w:val="Plain Text"/>
    <w:basedOn w:val="1"/>
    <w:link w:val="60"/>
    <w:uiPriority w:val="0"/>
    <w:rPr>
      <w:rFonts w:ascii="宋体" w:hAnsi="Courier New" w:cs="Courier New"/>
      <w:sz w:val="21"/>
      <w:szCs w:val="21"/>
    </w:rPr>
  </w:style>
  <w:style w:type="paragraph" w:styleId="25">
    <w:name w:val="toc 8"/>
    <w:basedOn w:val="1"/>
    <w:next w:val="1"/>
    <w:uiPriority w:val="0"/>
    <w:pPr>
      <w:widowControl/>
      <w:ind w:left="1680"/>
      <w:jc w:val="left"/>
    </w:pPr>
    <w:rPr>
      <w:kern w:val="0"/>
      <w:sz w:val="18"/>
      <w:szCs w:val="18"/>
    </w:rPr>
  </w:style>
  <w:style w:type="paragraph" w:styleId="26">
    <w:name w:val="Date"/>
    <w:basedOn w:val="1"/>
    <w:next w:val="1"/>
    <w:uiPriority w:val="0"/>
    <w:pPr>
      <w:ind w:left="100" w:leftChars="2500"/>
    </w:pPr>
  </w:style>
  <w:style w:type="paragraph" w:styleId="27">
    <w:name w:val="Body Text Indent 2"/>
    <w:basedOn w:val="1"/>
    <w:uiPriority w:val="0"/>
    <w:pPr>
      <w:ind w:firstLine="640" w:firstLineChars="200"/>
    </w:pPr>
    <w:rPr>
      <w:rFonts w:eastAsia="仿宋_GB2312"/>
      <w:sz w:val="32"/>
    </w:rPr>
  </w:style>
  <w:style w:type="paragraph" w:styleId="28">
    <w:name w:val="Balloon Text"/>
    <w:basedOn w:val="1"/>
    <w:uiPriority w:val="0"/>
    <w:rPr>
      <w:sz w:val="18"/>
      <w:szCs w:val="18"/>
    </w:rPr>
  </w:style>
  <w:style w:type="paragraph" w:styleId="29">
    <w:name w:val="footer"/>
    <w:basedOn w:val="1"/>
    <w:uiPriority w:val="0"/>
    <w:pPr>
      <w:tabs>
        <w:tab w:val="center" w:pos="4153"/>
        <w:tab w:val="right" w:pos="8306"/>
      </w:tabs>
      <w:snapToGrid w:val="0"/>
      <w:jc w:val="left"/>
    </w:pPr>
    <w:rPr>
      <w:sz w:val="18"/>
      <w:szCs w:val="18"/>
    </w:rPr>
  </w:style>
  <w:style w:type="paragraph" w:styleId="3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31">
    <w:name w:val="Signature"/>
    <w:basedOn w:val="1"/>
    <w:uiPriority w:val="0"/>
    <w:pPr>
      <w:ind w:left="100" w:leftChars="2100"/>
    </w:pPr>
  </w:style>
  <w:style w:type="paragraph" w:styleId="32">
    <w:name w:val="toc 1"/>
    <w:basedOn w:val="1"/>
    <w:next w:val="1"/>
    <w:uiPriority w:val="39"/>
    <w:pPr>
      <w:widowControl/>
      <w:spacing w:before="120" w:beforeLines="0" w:after="120" w:afterLines="0"/>
      <w:jc w:val="left"/>
    </w:pPr>
    <w:rPr>
      <w:b/>
      <w:bCs/>
      <w:caps/>
      <w:kern w:val="0"/>
      <w:sz w:val="20"/>
      <w:szCs w:val="20"/>
    </w:rPr>
  </w:style>
  <w:style w:type="paragraph" w:styleId="33">
    <w:name w:val="List Continue 4"/>
    <w:basedOn w:val="1"/>
    <w:uiPriority w:val="0"/>
    <w:pPr>
      <w:spacing w:after="120" w:afterLines="0"/>
      <w:ind w:left="1680" w:leftChars="800"/>
    </w:pPr>
  </w:style>
  <w:style w:type="paragraph" w:styleId="34">
    <w:name w:val="toc 4"/>
    <w:basedOn w:val="1"/>
    <w:next w:val="1"/>
    <w:uiPriority w:val="0"/>
    <w:pPr>
      <w:widowControl/>
      <w:ind w:left="720"/>
      <w:jc w:val="left"/>
    </w:pPr>
    <w:rPr>
      <w:kern w:val="0"/>
      <w:sz w:val="18"/>
      <w:szCs w:val="18"/>
    </w:rPr>
  </w:style>
  <w:style w:type="paragraph" w:styleId="35">
    <w:name w:val="List"/>
    <w:basedOn w:val="1"/>
    <w:uiPriority w:val="0"/>
    <w:pPr>
      <w:ind w:left="200" w:hanging="200" w:hangingChars="200"/>
    </w:pPr>
  </w:style>
  <w:style w:type="paragraph" w:styleId="36">
    <w:name w:val="toc 6"/>
    <w:basedOn w:val="1"/>
    <w:next w:val="1"/>
    <w:uiPriority w:val="0"/>
    <w:pPr>
      <w:widowControl/>
      <w:ind w:left="1200"/>
      <w:jc w:val="left"/>
    </w:pPr>
    <w:rPr>
      <w:kern w:val="0"/>
      <w:sz w:val="18"/>
      <w:szCs w:val="18"/>
    </w:rPr>
  </w:style>
  <w:style w:type="paragraph" w:styleId="37">
    <w:name w:val="List 5"/>
    <w:basedOn w:val="1"/>
    <w:uiPriority w:val="0"/>
    <w:pPr>
      <w:ind w:left="100" w:leftChars="800" w:hanging="200" w:hangingChars="200"/>
    </w:pPr>
  </w:style>
  <w:style w:type="paragraph" w:styleId="38">
    <w:name w:val="Body Text Indent 3"/>
    <w:basedOn w:val="1"/>
    <w:uiPriority w:val="0"/>
    <w:pPr>
      <w:spacing w:line="400" w:lineRule="exact"/>
      <w:ind w:firstLine="630"/>
    </w:pPr>
    <w:rPr>
      <w:rFonts w:ascii="宋体" w:hAnsi="宋体"/>
    </w:rPr>
  </w:style>
  <w:style w:type="paragraph" w:styleId="39">
    <w:name w:val="toc 2"/>
    <w:basedOn w:val="1"/>
    <w:next w:val="1"/>
    <w:uiPriority w:val="0"/>
    <w:pPr>
      <w:widowControl/>
      <w:ind w:left="240"/>
      <w:jc w:val="left"/>
    </w:pPr>
    <w:rPr>
      <w:smallCaps/>
      <w:kern w:val="0"/>
      <w:sz w:val="20"/>
      <w:szCs w:val="20"/>
    </w:rPr>
  </w:style>
  <w:style w:type="paragraph" w:styleId="40">
    <w:name w:val="toc 9"/>
    <w:basedOn w:val="1"/>
    <w:next w:val="1"/>
    <w:uiPriority w:val="0"/>
    <w:pPr>
      <w:widowControl/>
      <w:ind w:left="1920"/>
      <w:jc w:val="left"/>
    </w:pPr>
    <w:rPr>
      <w:kern w:val="0"/>
      <w:sz w:val="18"/>
      <w:szCs w:val="18"/>
    </w:rPr>
  </w:style>
  <w:style w:type="paragraph" w:styleId="41">
    <w:name w:val="Body Text 2"/>
    <w:basedOn w:val="1"/>
    <w:uiPriority w:val="0"/>
    <w:pPr>
      <w:widowControl/>
      <w:jc w:val="left"/>
    </w:pPr>
    <w:rPr>
      <w:rFonts w:ascii="楷体_GB2312" w:hAnsi="宋体" w:eastAsia="楷体_GB2312"/>
      <w:color w:val="000000"/>
      <w:kern w:val="0"/>
      <w:szCs w:val="21"/>
      <w:lang/>
    </w:rPr>
  </w:style>
  <w:style w:type="paragraph" w:styleId="42">
    <w:name w:val="List 4"/>
    <w:basedOn w:val="1"/>
    <w:uiPriority w:val="0"/>
    <w:pPr>
      <w:ind w:left="100" w:leftChars="600" w:hanging="200" w:hangingChars="200"/>
    </w:pPr>
  </w:style>
  <w:style w:type="paragraph" w:styleId="43">
    <w:name w:val="List Continue 2"/>
    <w:basedOn w:val="1"/>
    <w:uiPriority w:val="0"/>
    <w:pPr>
      <w:spacing w:after="120" w:afterLines="0"/>
      <w:ind w:left="840" w:leftChars="400"/>
    </w:pPr>
  </w:style>
  <w:style w:type="paragraph" w:styleId="44">
    <w:name w:val="Normal (Web)"/>
    <w:basedOn w:val="1"/>
    <w:uiPriority w:val="0"/>
    <w:pPr>
      <w:widowControl/>
      <w:spacing w:before="100" w:beforeLines="0" w:beforeAutospacing="1" w:after="100" w:afterLines="0" w:afterAutospacing="1" w:line="283" w:lineRule="atLeast"/>
      <w:jc w:val="left"/>
    </w:pPr>
    <w:rPr>
      <w:rFonts w:ascii="宋体" w:hAnsi="宋体"/>
      <w:color w:val="000000"/>
      <w:kern w:val="0"/>
      <w:sz w:val="19"/>
      <w:szCs w:val="19"/>
    </w:rPr>
  </w:style>
  <w:style w:type="paragraph" w:styleId="45">
    <w:name w:val="List Continue 3"/>
    <w:basedOn w:val="1"/>
    <w:uiPriority w:val="0"/>
    <w:pPr>
      <w:spacing w:after="120" w:afterLines="0"/>
      <w:ind w:left="1260" w:leftChars="600"/>
    </w:pPr>
  </w:style>
  <w:style w:type="paragraph" w:styleId="46">
    <w:name w:val="index 1"/>
    <w:basedOn w:val="1"/>
    <w:next w:val="1"/>
    <w:uiPriority w:val="0"/>
    <w:pPr>
      <w:spacing w:line="360" w:lineRule="auto"/>
    </w:pPr>
    <w:rPr>
      <w:rFonts w:ascii="宋体"/>
      <w:b/>
      <w:color w:val="0000FF"/>
      <w:sz w:val="24"/>
    </w:rPr>
  </w:style>
  <w:style w:type="paragraph" w:styleId="47">
    <w:name w:val="Title"/>
    <w:basedOn w:val="1"/>
    <w:next w:val="1"/>
    <w:link w:val="61"/>
    <w:qFormat/>
    <w:uiPriority w:val="0"/>
    <w:pPr>
      <w:spacing w:before="240" w:after="60"/>
      <w:jc w:val="center"/>
      <w:outlineLvl w:val="0"/>
    </w:pPr>
    <w:rPr>
      <w:rFonts w:ascii="等线 Light" w:hAnsi="等线 Light"/>
      <w:b/>
      <w:bCs/>
      <w:sz w:val="32"/>
      <w:szCs w:val="32"/>
    </w:rPr>
  </w:style>
  <w:style w:type="paragraph" w:styleId="48">
    <w:name w:val="annotation subject"/>
    <w:basedOn w:val="16"/>
    <w:next w:val="16"/>
    <w:link w:val="62"/>
    <w:uiPriority w:val="0"/>
    <w:rPr>
      <w:b/>
      <w:bCs/>
    </w:rPr>
  </w:style>
  <w:style w:type="paragraph" w:styleId="49">
    <w:name w:val="Body Text First Indent 2"/>
    <w:basedOn w:val="19"/>
    <w:uiPriority w:val="0"/>
    <w:pPr>
      <w:spacing w:after="120" w:afterLines="0" w:line="240" w:lineRule="auto"/>
      <w:ind w:left="420" w:leftChars="200" w:firstLine="420" w:firstLineChars="200"/>
    </w:pPr>
    <w:rPr>
      <w:rFonts w:ascii="Times New Roman" w:hAnsi="Times New Roman"/>
      <w:sz w:val="21"/>
      <w:szCs w:val="24"/>
    </w:rPr>
  </w:style>
  <w:style w:type="table" w:styleId="51">
    <w:name w:val="Table Grid"/>
    <w:basedOn w:val="50"/>
    <w:unhideWhenUsed/>
    <w:uiPriority w:val="99"/>
    <w:tblPr>
      <w:tblStyle w:val="5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3">
    <w:name w:val="Strong"/>
    <w:qFormat/>
    <w:uiPriority w:val="0"/>
    <w:rPr>
      <w:b/>
      <w:bCs/>
    </w:rPr>
  </w:style>
  <w:style w:type="character" w:styleId="54">
    <w:name w:val="page number"/>
    <w:uiPriority w:val="0"/>
  </w:style>
  <w:style w:type="character" w:styleId="55">
    <w:name w:val="FollowedHyperlink"/>
    <w:uiPriority w:val="0"/>
    <w:rPr>
      <w:color w:val="800080"/>
      <w:u w:val="single"/>
    </w:rPr>
  </w:style>
  <w:style w:type="character" w:styleId="56">
    <w:name w:val="Emphasis"/>
    <w:qFormat/>
    <w:uiPriority w:val="20"/>
    <w:rPr>
      <w:i/>
      <w:iCs/>
    </w:rPr>
  </w:style>
  <w:style w:type="character" w:styleId="57">
    <w:name w:val="Hyperlink"/>
    <w:uiPriority w:val="99"/>
    <w:rPr>
      <w:color w:val="0000FF"/>
      <w:u w:val="single"/>
    </w:rPr>
  </w:style>
  <w:style w:type="character" w:styleId="58">
    <w:name w:val="annotation reference"/>
    <w:uiPriority w:val="0"/>
    <w:rPr>
      <w:sz w:val="21"/>
      <w:szCs w:val="21"/>
    </w:rPr>
  </w:style>
  <w:style w:type="character" w:customStyle="1" w:styleId="59">
    <w:name w:val="批注文字 字符1"/>
    <w:link w:val="16"/>
    <w:uiPriority w:val="0"/>
    <w:rPr>
      <w:kern w:val="2"/>
      <w:sz w:val="21"/>
      <w:szCs w:val="24"/>
    </w:rPr>
  </w:style>
  <w:style w:type="character" w:customStyle="1" w:styleId="60">
    <w:name w:val="纯文本 字符1"/>
    <w:link w:val="24"/>
    <w:uiPriority w:val="0"/>
    <w:rPr>
      <w:rFonts w:ascii="宋体" w:hAnsi="Courier New" w:eastAsia="宋体" w:cs="Courier New"/>
      <w:kern w:val="2"/>
      <w:sz w:val="21"/>
      <w:szCs w:val="21"/>
      <w:lang w:val="en-US" w:eastAsia="zh-CN" w:bidi="ar-SA"/>
    </w:rPr>
  </w:style>
  <w:style w:type="character" w:customStyle="1" w:styleId="61">
    <w:name w:val="标题 字符"/>
    <w:link w:val="47"/>
    <w:uiPriority w:val="0"/>
    <w:rPr>
      <w:rFonts w:ascii="等线 Light" w:hAnsi="等线 Light" w:cs="Times New Roman"/>
      <w:b/>
      <w:bCs/>
      <w:kern w:val="2"/>
      <w:sz w:val="32"/>
      <w:szCs w:val="32"/>
    </w:rPr>
  </w:style>
  <w:style w:type="character" w:customStyle="1" w:styleId="62">
    <w:name w:val="批注主题 字符"/>
    <w:link w:val="48"/>
    <w:uiPriority w:val="0"/>
  </w:style>
  <w:style w:type="character" w:customStyle="1" w:styleId="63">
    <w:name w:val="3zw1"/>
    <w:uiPriority w:val="0"/>
    <w:rPr>
      <w:color w:val="000000"/>
      <w:sz w:val="21"/>
      <w:szCs w:val="21"/>
    </w:rPr>
  </w:style>
  <w:style w:type="character" w:customStyle="1" w:styleId="64">
    <w:name w:val="二级标题 Char Char"/>
    <w:uiPriority w:val="0"/>
    <w:rPr>
      <w:rFonts w:eastAsia="宋体"/>
      <w:sz w:val="21"/>
      <w:lang w:val="en-US" w:eastAsia="zh-CN" w:bidi="ar-SA"/>
    </w:rPr>
  </w:style>
  <w:style w:type="character" w:customStyle="1" w:styleId="65">
    <w:name w:val="纯文本 字符"/>
    <w:uiPriority w:val="0"/>
    <w:rPr>
      <w:rFonts w:ascii="等线" w:hAnsi="Courier New" w:eastAsia="等线" w:cs="Courier New"/>
      <w:kern w:val="2"/>
      <w:sz w:val="21"/>
      <w:szCs w:val="24"/>
    </w:rPr>
  </w:style>
  <w:style w:type="character" w:customStyle="1" w:styleId="66">
    <w:name w:val="unnamed11"/>
    <w:uiPriority w:val="0"/>
    <w:rPr>
      <w:rFonts w:hint="eastAsia" w:ascii="宋体" w:hAnsi="宋体" w:eastAsia="宋体"/>
      <w:sz w:val="21"/>
      <w:szCs w:val="21"/>
    </w:rPr>
  </w:style>
  <w:style w:type="character" w:customStyle="1" w:styleId="67">
    <w:name w:val="批注文字 字符"/>
    <w:uiPriority w:val="0"/>
    <w:rPr>
      <w:kern w:val="2"/>
      <w:sz w:val="21"/>
      <w:szCs w:val="24"/>
    </w:rPr>
  </w:style>
  <w:style w:type="character" w:customStyle="1" w:styleId="68">
    <w:name w:val="text1"/>
    <w:uiPriority w:val="0"/>
    <w:rPr>
      <w:spacing w:val="8"/>
      <w:sz w:val="21"/>
      <w:szCs w:val="21"/>
    </w:rPr>
  </w:style>
  <w:style w:type="character" w:customStyle="1" w:styleId="69">
    <w:name w:val="普通文字 Char"/>
    <w:uiPriority w:val="0"/>
    <w:rPr>
      <w:rFonts w:ascii="宋体" w:hAnsi="Courier New" w:eastAsia="宋体" w:cs="Courier New"/>
      <w:kern w:val="2"/>
      <w:sz w:val="21"/>
      <w:szCs w:val="21"/>
      <w:lang w:val="en-US" w:eastAsia="zh-CN" w:bidi="ar-SA"/>
    </w:rPr>
  </w:style>
  <w:style w:type="paragraph" w:customStyle="1" w:styleId="70">
    <w:name w:val="简单回函地址"/>
    <w:basedOn w:val="1"/>
    <w:uiPriority w:val="0"/>
  </w:style>
  <w:style w:type="paragraph" w:customStyle="1" w:styleId="71">
    <w:name w:val="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72">
    <w:name w:val="List Paragraph"/>
    <w:basedOn w:val="1"/>
    <w:uiPriority w:val="0"/>
    <w:pPr>
      <w:ind w:firstLine="420" w:firstLineChars="200"/>
    </w:pPr>
    <w:rPr>
      <w:rFonts w:ascii="Calibri" w:hAnsi="Calibri"/>
      <w:szCs w:val="22"/>
    </w:rPr>
  </w:style>
  <w:style w:type="paragraph" w:customStyle="1" w:styleId="73">
    <w:name w:val="xl28"/>
    <w:basedOn w:val="1"/>
    <w:uiPriority w:val="0"/>
    <w:pPr>
      <w:widowControl/>
      <w:spacing w:before="100" w:beforeLines="0" w:beforeAutospacing="1" w:after="100" w:afterLines="0" w:afterAutospacing="1"/>
      <w:jc w:val="center"/>
    </w:pPr>
    <w:rPr>
      <w:rFonts w:ascii="宋体" w:hAnsi="宋体"/>
      <w:b/>
      <w:bCs/>
      <w:kern w:val="0"/>
      <w:sz w:val="32"/>
      <w:szCs w:val="32"/>
    </w:rPr>
  </w:style>
  <w:style w:type="paragraph" w:customStyle="1" w:styleId="74">
    <w:name w:val="二级标题"/>
    <w:basedOn w:val="1"/>
    <w:uiPriority w:val="0"/>
    <w:pPr>
      <w:adjustRightInd w:val="0"/>
      <w:spacing w:line="300" w:lineRule="auto"/>
      <w:ind w:left="200" w:hanging="200" w:hangingChars="200"/>
      <w:jc w:val="left"/>
      <w:textAlignment w:val="baseline"/>
    </w:pPr>
    <w:rPr>
      <w:kern w:val="0"/>
      <w:szCs w:val="20"/>
    </w:rPr>
  </w:style>
  <w:style w:type="paragraph" w:customStyle="1" w:styleId="75">
    <w:name w:val="2"/>
    <w:basedOn w:val="1"/>
    <w:next w:val="19"/>
    <w:uiPriority w:val="0"/>
    <w:pPr>
      <w:ind w:left="2100" w:leftChars="1000" w:firstLine="560" w:firstLineChars="200"/>
      <w:jc w:val="left"/>
    </w:pPr>
    <w:rPr>
      <w:sz w:val="28"/>
    </w:rPr>
  </w:style>
  <w:style w:type="paragraph" w:customStyle="1" w:styleId="76">
    <w:name w:val="样式1"/>
    <w:basedOn w:val="1"/>
    <w:uiPriority w:val="0"/>
  </w:style>
  <w:style w:type="paragraph" w:customStyle="1" w:styleId="77">
    <w:name w:val="PP 行"/>
    <w:basedOn w:val="31"/>
    <w:uiPriority w:val="0"/>
  </w:style>
  <w:style w:type="paragraph" w:customStyle="1" w:styleId="78">
    <w:name w:val="Char"/>
    <w:basedOn w:val="1"/>
    <w:uiPriority w:val="0"/>
    <w:pPr>
      <w:tabs>
        <w:tab w:val="left" w:pos="360"/>
      </w:tabs>
    </w:pPr>
    <w:rPr>
      <w:sz w:val="24"/>
    </w:rPr>
  </w:style>
  <w:style w:type="paragraph" w:customStyle="1" w:styleId="79">
    <w:name w:val="表格"/>
    <w:basedOn w:val="1"/>
    <w:uiPriority w:val="0"/>
    <w:rPr>
      <w:szCs w:val="21"/>
    </w:rPr>
  </w:style>
  <w:style w:type="paragraph" w:customStyle="1" w:styleId="80">
    <w:name w:val=" Char Char Char Char"/>
    <w:basedOn w:val="1"/>
    <w:uiPriority w:val="0"/>
    <w:rPr>
      <w:rFonts w:ascii="仿宋_GB2312" w:eastAsia="仿宋_GB2312"/>
      <w:b/>
      <w:sz w:val="32"/>
      <w:szCs w:val="32"/>
    </w:rPr>
  </w:style>
  <w:style w:type="paragraph" w:customStyle="1" w:styleId="81">
    <w:name w:val="标题4"/>
    <w:basedOn w:val="1"/>
    <w:uiPriority w:val="0"/>
  </w:style>
  <w:style w:type="paragraph" w:customStyle="1" w:styleId="82">
    <w:name w:val="1"/>
    <w:basedOn w:val="1"/>
    <w:next w:val="24"/>
    <w:uiPriority w:val="0"/>
    <w:rPr>
      <w:rFonts w:ascii="宋体" w:hAnsi="Courier New"/>
      <w:szCs w:val="20"/>
    </w:rPr>
  </w:style>
  <w:style w:type="paragraph" w:customStyle="1" w:styleId="83">
    <w:name w:val="条文"/>
    <w:uiPriority w:val="0"/>
    <w:pPr>
      <w:numPr>
        <w:ilvl w:val="0"/>
        <w:numId w:val="2"/>
      </w:numPr>
      <w:spacing w:before="120" w:line="360" w:lineRule="auto"/>
      <w:outlineLvl w:val="0"/>
    </w:pPr>
    <w:rPr>
      <w:sz w:val="21"/>
      <w:lang w:val="en-US" w:eastAsia="zh-CN" w:bidi="ar-SA"/>
    </w:rPr>
  </w:style>
  <w:style w:type="paragraph" w:customStyle="1" w:styleId="84">
    <w:name w:val=" Char"/>
    <w:basedOn w:val="1"/>
    <w:uiPriority w:val="0"/>
    <w:pPr>
      <w:tabs>
        <w:tab w:val="left" w:pos="360"/>
      </w:tabs>
    </w:pPr>
    <w:rPr>
      <w:sz w:val="24"/>
    </w:rPr>
  </w:style>
  <w:style w:type="paragraph" w:customStyle="1" w:styleId="85">
    <w:name w:val="xl34"/>
    <w:basedOn w:val="1"/>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Cs w:val="21"/>
    </w:rPr>
  </w:style>
  <w:style w:type="paragraph" w:customStyle="1" w:styleId="86">
    <w:name w:val="三级标题"/>
    <w:basedOn w:val="1"/>
    <w:uiPriority w:val="0"/>
    <w:pPr>
      <w:adjustRightInd w:val="0"/>
      <w:spacing w:line="300" w:lineRule="auto"/>
      <w:ind w:left="300" w:hanging="300" w:hangingChars="300"/>
      <w:jc w:val="left"/>
      <w:textAlignment w:val="baseline"/>
    </w:pPr>
    <w:rPr>
      <w:kern w:val="0"/>
      <w:szCs w:val="20"/>
    </w:rPr>
  </w:style>
  <w:style w:type="paragraph" w:styleId="87">
    <w:name w:val=""/>
    <w:unhideWhenUsed/>
    <w:uiPriority w:val="99"/>
    <w:rPr>
      <w:kern w:val="2"/>
      <w:sz w:val="24"/>
      <w:szCs w:val="24"/>
      <w:lang w:val="en-US" w:eastAsia="zh-CN" w:bidi="ar-SA"/>
    </w:rPr>
  </w:style>
  <w:style w:type="paragraph" w:customStyle="1" w:styleId="88">
    <w:name w:val="Table Paragraph"/>
    <w:basedOn w:val="1"/>
    <w:qFormat/>
    <w:uiPriority w:val="1"/>
  </w:style>
  <w:style w:type="paragraph" w:customStyle="1" w:styleId="89">
    <w:name w:val="Heading 1"/>
    <w:basedOn w:val="1"/>
    <w:qFormat/>
    <w:uiPriority w:val="1"/>
    <w:pPr>
      <w:spacing w:before="32"/>
      <w:ind w:left="112"/>
      <w:outlineLvl w:val="0"/>
    </w:pPr>
    <w:rPr>
      <w:rFonts w:ascii="仿宋" w:eastAsia="仿宋" w:cs="仿宋"/>
      <w:b/>
      <w:bCs/>
      <w:sz w:val="30"/>
      <w:szCs w:val="30"/>
    </w:rPr>
  </w:style>
  <w:style w:type="character" w:customStyle="1" w:styleId="90">
    <w:name w:val="font41"/>
    <w:qFormat/>
    <w:uiPriority w:val="0"/>
    <w:rPr>
      <w:rFonts w:hint="eastAsia" w:ascii="黑体" w:hAnsi="宋体" w:eastAsia="黑体" w:cs="黑体"/>
      <w:color w:val="000000"/>
      <w:sz w:val="22"/>
      <w:szCs w:val="22"/>
      <w:u w:val="none"/>
    </w:rPr>
  </w:style>
  <w:style w:type="paragraph" w:customStyle="1" w:styleId="91">
    <w:name w:val="Heading #1|1"/>
    <w:basedOn w:val="1"/>
    <w:qFormat/>
    <w:uiPriority w:val="0"/>
    <w:pPr>
      <w:widowControl w:val="0"/>
      <w:shd w:val="clear" w:color="auto" w:fill="auto"/>
      <w:spacing w:before="260" w:after="240"/>
      <w:jc w:val="center"/>
      <w:outlineLvl w:val="0"/>
    </w:pPr>
    <w:rPr>
      <w:rFonts w:ascii="宋体" w:hAnsi="宋体" w:eastAsia="宋体" w:cs="宋体"/>
      <w:sz w:val="34"/>
      <w:szCs w:val="34"/>
      <w:u w:val="none"/>
      <w:shd w:val="clear" w:color="auto" w:fill="auto"/>
      <w:lang w:val="zh-TW" w:eastAsia="zh-TW" w:bidi="zh-TW"/>
    </w:rPr>
  </w:style>
  <w:style w:type="paragraph" w:customStyle="1" w:styleId="92">
    <w:name w:val="Body text|1"/>
    <w:basedOn w:val="1"/>
    <w:qFormat/>
    <w:uiPriority w:val="0"/>
    <w:pPr>
      <w:widowControl w:val="0"/>
      <w:shd w:val="clear" w:color="auto" w:fill="auto"/>
      <w:spacing w:line="480" w:lineRule="auto"/>
      <w:ind w:firstLine="400"/>
    </w:pPr>
    <w:rPr>
      <w:rFonts w:ascii="宋体" w:hAnsi="宋体" w:eastAsia="宋体" w:cs="宋体"/>
      <w:sz w:val="19"/>
      <w:szCs w:val="19"/>
      <w:u w:val="none"/>
      <w:shd w:val="clear" w:color="auto" w:fill="auto"/>
      <w:lang w:val="zh-TW" w:eastAsia="zh-TW" w:bidi="zh-TW"/>
    </w:rPr>
  </w:style>
  <w:style w:type="paragraph" w:customStyle="1" w:styleId="93">
    <w:name w:val="Body text|3"/>
    <w:basedOn w:val="1"/>
    <w:qFormat/>
    <w:uiPriority w:val="0"/>
    <w:pPr>
      <w:widowControl w:val="0"/>
      <w:shd w:val="clear" w:color="auto" w:fill="auto"/>
      <w:spacing w:after="230" w:line="467" w:lineRule="exact"/>
    </w:pPr>
    <w:rPr>
      <w:sz w:val="20"/>
      <w:szCs w:val="20"/>
      <w:u w:val="none"/>
      <w:shd w:val="clear" w:color="auto" w:fill="auto"/>
      <w:lang w:val="zh-TW" w:eastAsia="zh-TW" w:bidi="zh-TW"/>
    </w:rPr>
  </w:style>
  <w:style w:type="paragraph" w:customStyle="1" w:styleId="94">
    <w:name w:val="Other|1"/>
    <w:basedOn w:val="1"/>
    <w:qFormat/>
    <w:uiPriority w:val="0"/>
    <w:pPr>
      <w:widowControl w:val="0"/>
      <w:shd w:val="clear" w:color="auto" w:fill="auto"/>
      <w:spacing w:line="480" w:lineRule="auto"/>
      <w:ind w:firstLine="400"/>
    </w:pPr>
    <w:rPr>
      <w:rFonts w:ascii="宋体" w:hAnsi="宋体" w:eastAsia="宋体" w:cs="宋体"/>
      <w:sz w:val="19"/>
      <w:szCs w:val="19"/>
      <w:u w:val="none"/>
      <w:shd w:val="clear" w:color="auto" w:fill="auto"/>
      <w:lang w:val="zh-TW" w:eastAsia="zh-TW" w:bidi="zh-TW"/>
    </w:rPr>
  </w:style>
  <w:style w:type="paragraph" w:customStyle="1" w:styleId="95">
    <w:name w:val="Heading #2|1"/>
    <w:basedOn w:val="1"/>
    <w:qFormat/>
    <w:uiPriority w:val="0"/>
    <w:pPr>
      <w:widowControl w:val="0"/>
      <w:shd w:val="clear" w:color="auto" w:fill="auto"/>
      <w:spacing w:after="140"/>
      <w:ind w:firstLine="190"/>
      <w:outlineLvl w:val="1"/>
    </w:pPr>
    <w:rPr>
      <w:rFonts w:ascii="宋体" w:hAnsi="宋体" w:eastAsia="宋体" w:cs="宋体"/>
      <w:sz w:val="30"/>
      <w:szCs w:val="30"/>
      <w:u w:val="none"/>
      <w:shd w:val="clear" w:color="auto" w:fill="auto"/>
      <w:lang w:val="zh-TW" w:eastAsia="zh-TW" w:bidi="zh-TW"/>
    </w:rPr>
  </w:style>
  <w:style w:type="paragraph" w:customStyle="1" w:styleId="96">
    <w:name w:val="Body text|2"/>
    <w:basedOn w:val="1"/>
    <w:qFormat/>
    <w:uiPriority w:val="0"/>
    <w:pPr>
      <w:widowControl w:val="0"/>
      <w:shd w:val="clear" w:color="auto" w:fill="auto"/>
      <w:ind w:left="5300"/>
    </w:pPr>
    <w:rPr>
      <w:rFonts w:ascii="宋体" w:hAnsi="宋体" w:eastAsia="宋体" w:cs="宋体"/>
      <w:sz w:val="17"/>
      <w:szCs w:val="17"/>
      <w:u w:val="none"/>
      <w:shd w:val="clear" w:color="auto" w:fill="auto"/>
      <w:lang w:val="zh-TW" w:eastAsia="zh-TW" w:bidi="zh-TW"/>
    </w:rPr>
  </w:style>
  <w:style w:type="paragraph" w:customStyle="1" w:styleId="97">
    <w:name w:val="Header or footer|1"/>
    <w:basedOn w:val="1"/>
    <w:qFormat/>
    <w:uiPriority w:val="0"/>
    <w:pPr>
      <w:widowControl w:val="0"/>
      <w:shd w:val="clear" w:color="auto" w:fill="auto"/>
    </w:pPr>
    <w:rPr>
      <w:rFonts w:ascii="宋体" w:hAnsi="宋体" w:eastAsia="宋体" w:cs="宋体"/>
      <w:sz w:val="17"/>
      <w:szCs w:val="17"/>
      <w:u w:val="none"/>
      <w:shd w:val="clear" w:color="auto" w:fill="auto"/>
      <w:lang w:val="zh-TW" w:eastAsia="zh-TW" w:bidi="zh-TW"/>
    </w:rPr>
  </w:style>
  <w:style w:type="character" w:customStyle="1" w:styleId="98">
    <w:name w:val="font13"/>
    <w:uiPriority w:val="0"/>
    <w:rPr>
      <w:rFonts w:hint="eastAsia" w:ascii="宋体" w:hAnsi="宋体" w:eastAsia="宋体" w:cs="宋体"/>
      <w:color w:val="000000"/>
      <w:sz w:val="20"/>
      <w:szCs w:val="20"/>
      <w:u w:val="none"/>
    </w:rPr>
  </w:style>
  <w:style w:type="paragraph" w:customStyle="1" w:styleId="99">
    <w:name w:val="列出段落1"/>
    <w:basedOn w:val="1"/>
    <w:qFormat/>
    <w:uiPriority w:val="0"/>
    <w:pPr>
      <w:ind w:firstLine="420" w:firstLineChars="200"/>
    </w:pPr>
  </w:style>
  <w:style w:type="character" w:customStyle="1" w:styleId="100">
    <w:name w:val="font81"/>
    <w:uiPriority w:val="0"/>
    <w:rPr>
      <w:rFonts w:hint="eastAsia" w:ascii="宋体" w:hAnsi="宋体" w:eastAsia="宋体" w:cs="宋体"/>
      <w:color w:val="000000"/>
      <w:sz w:val="21"/>
      <w:szCs w:val="21"/>
      <w:u w:val="none"/>
      <w:vertAlign w:val="superscript"/>
    </w:rPr>
  </w:style>
  <w:style w:type="character" w:customStyle="1" w:styleId="101">
    <w:name w:val="msoins"/>
    <w:qFormat/>
    <w:uiPriority w:val="0"/>
  </w:style>
  <w:style w:type="paragraph" w:customStyle="1" w:styleId="102">
    <w:name w:val="Table Text"/>
    <w:basedOn w:val="1"/>
    <w:semiHidden/>
    <w:qFormat/>
    <w:uiPriority w:val="0"/>
    <w:rPr>
      <w:rFonts w:ascii="宋体" w:hAnsi="宋体" w:eastAsia="宋体" w:cs="宋体"/>
      <w:sz w:val="22"/>
      <w:szCs w:val="22"/>
      <w:lang w:val="en-US" w:eastAsia="en-US" w:bidi="ar-SA"/>
    </w:rPr>
  </w:style>
  <w:style w:type="table" w:customStyle="1" w:styleId="103">
    <w:name w:val="Table Normal"/>
    <w:unhideWhenUsed/>
    <w:qFormat/>
    <w:uiPriority w:val="0"/>
    <w:rPr>
      <w:lang w:val="en-US" w:eastAsia="zh-CN" w:bidi="ar-SA"/>
    </w:rPr>
    <w:tblPr>
      <w:tblStyle w:val="50"/>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9</Pages>
  <Words>2745</Words>
  <Characters>3047</Characters>
  <Lines>30</Lines>
  <Paragraphs>8</Paragraphs>
  <TotalTime>6</TotalTime>
  <ScaleCrop>false</ScaleCrop>
  <LinksUpToDate>false</LinksUpToDate>
  <CharactersWithSpaces>3167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2024-11-29T07:02:00Z</dcterms:created>
  <dc:creator>X</dc:creator>
  <cp:lastModifiedBy>86154</cp:lastModifiedBy>
  <cp:lastPrinted>2022-06-22T01:58:00Z</cp:lastPrinted>
  <dcterms:modified xsi:type="dcterms:W3CDTF">2025-11-04T09:31:22Z</dcterms:modified>
  <dc:title>工程编号：XAH-004-ZT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898D3BE511184CDEA4FEA1AC4FA72544_13</vt:lpwstr>
  </property>
  <property fmtid="{D5CDD505-2E9C-101B-9397-08002B2CF9AE}" pid="4" name="KSOTemplateDocerSaveRecord">
    <vt:lpwstr>eyJoZGlkIjoiZWM1ZmFlYTI0MTM0OWJiNjFkODZiNGQ4MmNmYjAxNjgiLCJ1c2VySWQiOiI3MzAyNTEyNTIifQ==</vt:lpwstr>
  </property>
</Properties>
</file>